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F35AA">
      <w:pPr>
        <w:keepNext/>
        <w:keepLines/>
        <w:pageBreakBefore w:val="0"/>
        <w:widowControl/>
        <w:kinsoku/>
        <w:wordWrap/>
        <w:overflowPunct/>
        <w:topLinePunct w:val="0"/>
        <w:autoSpaceDE/>
        <w:autoSpaceDN/>
        <w:bidi w:val="0"/>
        <w:adjustRightInd/>
        <w:snapToGrid/>
        <w:spacing w:line="590" w:lineRule="exact"/>
        <w:jc w:val="both"/>
        <w:textAlignment w:val="auto"/>
        <w:outlineLvl w:val="1"/>
        <w:rPr>
          <w:rFonts w:hint="eastAsia" w:ascii="黑体" w:hAnsi="黑体" w:eastAsia="黑体" w:cs="黑体"/>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附件1</w:t>
      </w:r>
    </w:p>
    <w:p w14:paraId="0C19138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60" w:lineRule="exact"/>
        <w:ind w:left="0" w:right="0" w:firstLine="0"/>
        <w:jc w:val="center"/>
        <w:textAlignment w:val="auto"/>
        <w:rPr>
          <w:rFonts w:hint="eastAsia" w:ascii="方正小标宋简体" w:hAnsi="Calibri" w:eastAsia="方正小标宋简体" w:cs="Times New Roman"/>
          <w:b w:val="0"/>
          <w:bCs w:val="0"/>
          <w:kern w:val="2"/>
          <w:sz w:val="32"/>
          <w:szCs w:val="32"/>
          <w:lang w:val="en-US" w:eastAsia="zh-CN" w:bidi="ar-SA"/>
        </w:rPr>
      </w:pPr>
      <w:r>
        <w:rPr>
          <w:rFonts w:hint="eastAsia" w:ascii="方正小标宋简体" w:hAnsi="Calibri" w:eastAsia="方正小标宋简体" w:cs="Times New Roman"/>
          <w:b w:val="0"/>
          <w:bCs w:val="0"/>
          <w:kern w:val="2"/>
          <w:sz w:val="32"/>
          <w:szCs w:val="32"/>
          <w:lang w:val="en-US" w:eastAsia="zh-CN" w:bidi="ar-SA"/>
        </w:rPr>
        <w:t>成都市托育综合服务中心</w:t>
      </w:r>
    </w:p>
    <w:p w14:paraId="4557A4F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60" w:lineRule="exact"/>
        <w:ind w:left="0" w:right="0" w:firstLine="0"/>
        <w:jc w:val="center"/>
        <w:textAlignment w:val="auto"/>
        <w:rPr>
          <w:rFonts w:hint="eastAsia" w:ascii="方正小标宋简体" w:hAnsi="Calibri" w:eastAsia="方正小标宋简体" w:cs="Times New Roman"/>
          <w:b w:val="0"/>
          <w:bCs w:val="0"/>
          <w:kern w:val="2"/>
          <w:sz w:val="32"/>
          <w:szCs w:val="32"/>
          <w:lang w:val="en-US" w:eastAsia="zh-CN" w:bidi="ar-SA"/>
        </w:rPr>
      </w:pPr>
      <w:r>
        <w:rPr>
          <w:rFonts w:hint="eastAsia" w:ascii="方正小标宋简体" w:hAnsi="Calibri" w:eastAsia="方正小标宋简体" w:cs="Times New Roman"/>
          <w:b w:val="0"/>
          <w:bCs w:val="0"/>
          <w:kern w:val="2"/>
          <w:sz w:val="32"/>
          <w:szCs w:val="32"/>
          <w:lang w:val="en-US" w:eastAsia="zh-CN" w:bidi="ar-SA"/>
        </w:rPr>
        <w:t>后勤综合服务采购市场调研需求</w:t>
      </w:r>
    </w:p>
    <w:p w14:paraId="368A6D4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15" w:lineRule="auto"/>
        <w:ind w:right="0"/>
        <w:jc w:val="both"/>
        <w:rPr>
          <w:rFonts w:hint="eastAsia" w:ascii="仿宋" w:hAnsi="仿宋" w:eastAsia="仿宋" w:cs="仿宋"/>
          <w:color w:val="auto"/>
          <w:kern w:val="0"/>
          <w:sz w:val="28"/>
          <w:szCs w:val="22"/>
          <w:u w:val="none"/>
          <w:lang w:val="en-US" w:eastAsia="zh-CN" w:bidi="ar-SA"/>
        </w:rPr>
      </w:pPr>
    </w:p>
    <w:p w14:paraId="737803D3">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default" w:ascii="Times New Roman" w:hAnsi="Times New Roman" w:eastAsia="黑体" w:cs="Times New Roman"/>
          <w:kern w:val="0"/>
          <w:sz w:val="28"/>
          <w:szCs w:val="28"/>
          <w:lang w:val="en-US" w:eastAsia="zh-CN" w:bidi="ar-SA"/>
        </w:rPr>
      </w:pPr>
      <w:r>
        <w:rPr>
          <w:rFonts w:hint="default" w:ascii="Times New Roman" w:hAnsi="Times New Roman" w:eastAsia="黑体" w:cs="Times New Roman"/>
          <w:kern w:val="0"/>
          <w:sz w:val="28"/>
          <w:szCs w:val="28"/>
          <w:lang w:val="en-US" w:eastAsia="zh-CN" w:bidi="ar-SA"/>
        </w:rPr>
        <w:t>一、项目概况</w:t>
      </w:r>
    </w:p>
    <w:p w14:paraId="1EE3E083">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480" w:firstLineChars="200"/>
        <w:jc w:val="left"/>
        <w:textAlignment w:val="auto"/>
        <w:rPr>
          <w:rFonts w:hint="eastAsia" w:ascii="Times New Roman" w:hAnsi="Times New Roman" w:eastAsia="方正仿宋简体" w:cs="Times New Roman"/>
          <w:color w:val="auto"/>
          <w:kern w:val="0"/>
          <w:sz w:val="24"/>
          <w:szCs w:val="24"/>
          <w:u w:val="none"/>
          <w:lang w:val="en-US" w:eastAsia="zh-CN" w:bidi="ar-SA"/>
        </w:rPr>
      </w:pPr>
      <w:r>
        <w:rPr>
          <w:rFonts w:hint="eastAsia" w:ascii="Times New Roman" w:hAnsi="Times New Roman" w:eastAsia="方正仿宋简体" w:cs="Times New Roman"/>
          <w:color w:val="auto"/>
          <w:kern w:val="0"/>
          <w:sz w:val="24"/>
          <w:szCs w:val="24"/>
          <w:u w:val="none"/>
          <w:lang w:val="en-US" w:eastAsia="zh-CN" w:bidi="ar-SA"/>
        </w:rPr>
        <w:t>(一）基本情况</w:t>
      </w:r>
    </w:p>
    <w:p w14:paraId="460CCD05">
      <w:pPr>
        <w:pStyle w:val="2"/>
        <w:numPr>
          <w:ilvl w:val="0"/>
          <w:numId w:val="0"/>
        </w:numPr>
        <w:ind w:firstLine="480" w:firstLineChars="200"/>
        <w:rPr>
          <w:rFonts w:hint="default"/>
          <w:sz w:val="24"/>
          <w:szCs w:val="24"/>
          <w:lang w:val="en-US" w:eastAsia="zh-CN"/>
        </w:rPr>
      </w:pPr>
      <w:r>
        <w:rPr>
          <w:rFonts w:hint="default"/>
          <w:sz w:val="24"/>
          <w:szCs w:val="24"/>
          <w:lang w:val="en-US" w:eastAsia="zh-CN"/>
        </w:rPr>
        <w:t>成都市托育综合服务中心</w:t>
      </w:r>
      <w:r>
        <w:rPr>
          <w:rFonts w:hint="eastAsia"/>
          <w:sz w:val="24"/>
          <w:szCs w:val="24"/>
          <w:lang w:val="en-US" w:eastAsia="zh-CN"/>
        </w:rPr>
        <w:t>，</w:t>
      </w:r>
      <w:r>
        <w:rPr>
          <w:rFonts w:hint="default"/>
          <w:sz w:val="24"/>
          <w:szCs w:val="24"/>
          <w:lang w:val="en-US" w:eastAsia="zh-CN"/>
        </w:rPr>
        <w:t>位于成都市新都区新都街道同仁村</w:t>
      </w:r>
      <w:r>
        <w:rPr>
          <w:rFonts w:hint="eastAsia"/>
          <w:sz w:val="24"/>
          <w:szCs w:val="24"/>
          <w:lang w:val="en-US" w:eastAsia="zh-CN"/>
        </w:rPr>
        <w:t>一组</w:t>
      </w:r>
      <w:r>
        <w:rPr>
          <w:rFonts w:hint="default"/>
          <w:sz w:val="24"/>
          <w:szCs w:val="24"/>
          <w:lang w:val="en-US" w:eastAsia="zh-CN"/>
        </w:rPr>
        <w:t>，规划用地面积5581.38平方米，总建筑面积7936.98平方米，其中地上6264.77平方米，地下1672.19 平方米</w:t>
      </w:r>
      <w:r>
        <w:rPr>
          <w:rFonts w:hint="eastAsia"/>
          <w:sz w:val="24"/>
          <w:szCs w:val="24"/>
          <w:lang w:val="en-US" w:eastAsia="zh-CN"/>
        </w:rPr>
        <w:t>，设置托位130个，其中乳儿班2个（10人/班）、托小班2个（15人/班）、托大班4个（20人/班），教职工30余人。</w:t>
      </w:r>
    </w:p>
    <w:p w14:paraId="23C75E96">
      <w:pPr>
        <w:pStyle w:val="2"/>
        <w:numPr>
          <w:ilvl w:val="0"/>
          <w:numId w:val="1"/>
        </w:numPr>
        <w:ind w:firstLine="468" w:firstLineChars="195"/>
        <w:rPr>
          <w:rFonts w:hint="eastAsia"/>
          <w:sz w:val="24"/>
          <w:szCs w:val="24"/>
          <w:lang w:val="en-US" w:eastAsia="zh-CN"/>
        </w:rPr>
      </w:pPr>
      <w:r>
        <w:rPr>
          <w:rFonts w:hint="eastAsia"/>
          <w:sz w:val="24"/>
          <w:szCs w:val="24"/>
          <w:lang w:val="en-US" w:eastAsia="zh-CN"/>
        </w:rPr>
        <w:t>项目背景</w:t>
      </w:r>
    </w:p>
    <w:p w14:paraId="419A2180">
      <w:pPr>
        <w:pStyle w:val="2"/>
        <w:numPr>
          <w:ilvl w:val="0"/>
          <w:numId w:val="0"/>
        </w:numPr>
        <w:ind w:firstLine="480" w:firstLineChars="200"/>
        <w:rPr>
          <w:rFonts w:hint="eastAsia"/>
          <w:sz w:val="24"/>
          <w:szCs w:val="24"/>
          <w:lang w:val="en-US" w:eastAsia="zh-CN"/>
        </w:rPr>
      </w:pPr>
      <w:r>
        <w:rPr>
          <w:rFonts w:hint="eastAsia"/>
          <w:sz w:val="24"/>
          <w:szCs w:val="24"/>
          <w:lang w:val="en-US" w:eastAsia="zh-CN"/>
        </w:rPr>
        <w:t>成都市托育综合服务中心是为0—3岁婴幼儿提供托育照护服务的综合性服务机构，承担婴幼儿照护、养育指导及社区托育服务等职能。为保障中心安全、卫生、规范、高效运行，拟通过政府采购方式采购保洁、安保、消防控制室值班、食堂餐饮等后勤综合服务。</w:t>
      </w:r>
    </w:p>
    <w:p w14:paraId="70AA4B1E">
      <w:pPr>
        <w:pStyle w:val="2"/>
        <w:numPr>
          <w:ilvl w:val="0"/>
          <w:numId w:val="0"/>
        </w:numPr>
        <w:ind w:firstLine="240" w:firstLineChars="100"/>
        <w:rPr>
          <w:rFonts w:hint="eastAsia"/>
          <w:sz w:val="24"/>
          <w:szCs w:val="24"/>
          <w:lang w:val="en-US" w:eastAsia="zh-CN"/>
        </w:rPr>
      </w:pPr>
      <w:r>
        <w:rPr>
          <w:rFonts w:hint="eastAsia"/>
          <w:sz w:val="24"/>
          <w:szCs w:val="24"/>
          <w:lang w:val="en-US" w:eastAsia="zh-CN"/>
        </w:rPr>
        <w:t>（三）调研说明</w:t>
      </w:r>
    </w:p>
    <w:p w14:paraId="213BD394">
      <w:pPr>
        <w:pStyle w:val="2"/>
        <w:numPr>
          <w:ilvl w:val="0"/>
          <w:numId w:val="0"/>
        </w:numPr>
        <w:ind w:firstLine="480" w:firstLineChars="200"/>
        <w:rPr>
          <w:rFonts w:hint="default"/>
          <w:sz w:val="24"/>
          <w:szCs w:val="24"/>
          <w:lang w:val="en-US" w:eastAsia="zh-CN"/>
        </w:rPr>
      </w:pPr>
      <w:r>
        <w:rPr>
          <w:rFonts w:hint="eastAsia"/>
          <w:sz w:val="24"/>
          <w:szCs w:val="24"/>
          <w:lang w:val="en-US" w:eastAsia="zh-CN"/>
        </w:rPr>
        <w:t>1.</w:t>
      </w:r>
      <w:r>
        <w:rPr>
          <w:rFonts w:hint="default"/>
          <w:sz w:val="24"/>
          <w:szCs w:val="24"/>
          <w:lang w:val="en-US" w:eastAsia="zh-CN"/>
        </w:rPr>
        <w:t>为科学、合理地确定成都市托育综合服务中心后勤综合服务采购项目的采购需求，依据《中华人民共和国政府采购法》、《政府采购需求管理办法》（财库〔2021〕22号）等有关规定，结合中心实际运营需要，现面向社会公开开展后勤综合服务采购市场调研。本文件为采购人开展需求调查的参考性文件，用于了解相关产业发展、市场供给、服务标准及市场价格等情况，不作为最终采购文件或合同依据。</w:t>
      </w:r>
    </w:p>
    <w:p w14:paraId="63EAFA98">
      <w:pPr>
        <w:pStyle w:val="2"/>
        <w:ind w:firstLine="468" w:firstLineChars="195"/>
        <w:rPr>
          <w:rFonts w:hint="default"/>
          <w:sz w:val="24"/>
          <w:szCs w:val="24"/>
          <w:lang w:val="en-US" w:eastAsia="zh-CN"/>
        </w:rPr>
      </w:pPr>
      <w:r>
        <w:rPr>
          <w:rFonts w:hint="eastAsia"/>
          <w:sz w:val="24"/>
          <w:szCs w:val="24"/>
          <w:lang w:val="en-US" w:eastAsia="zh-CN"/>
        </w:rPr>
        <w:t>2.</w:t>
      </w:r>
      <w:r>
        <w:rPr>
          <w:rFonts w:hint="default"/>
          <w:sz w:val="24"/>
          <w:szCs w:val="24"/>
          <w:lang w:val="en-US" w:eastAsia="zh-CN"/>
        </w:rPr>
        <w:t>本文件所述采购需求为初步需求，采购人可依实际情况进行调整，最终以本项目招标（采购）公告及采购文件为准。本次市场调研不确定成交供应商，不具有任何限制及承诺效力。</w:t>
      </w:r>
    </w:p>
    <w:p w14:paraId="4BBFEC6F">
      <w:pPr>
        <w:pStyle w:val="2"/>
        <w:ind w:firstLine="468" w:firstLineChars="195"/>
        <w:rPr>
          <w:rFonts w:hint="default"/>
          <w:sz w:val="24"/>
          <w:szCs w:val="24"/>
          <w:lang w:val="en-US" w:eastAsia="zh-CN"/>
        </w:rPr>
      </w:pPr>
      <w:r>
        <w:rPr>
          <w:rFonts w:hint="eastAsia"/>
          <w:sz w:val="24"/>
          <w:szCs w:val="24"/>
          <w:lang w:val="en-US" w:eastAsia="zh-CN"/>
        </w:rPr>
        <w:t>3.</w:t>
      </w:r>
      <w:r>
        <w:rPr>
          <w:rFonts w:hint="default"/>
          <w:sz w:val="24"/>
          <w:szCs w:val="24"/>
          <w:lang w:val="en-US" w:eastAsia="zh-CN"/>
        </w:rPr>
        <w:t>凡有意参与本项目后续采购活动的供应商，均可依据本文件相关内容提供意见、建议及市场报价信息，采购人将据此进行需求论证与价格测算。</w:t>
      </w:r>
    </w:p>
    <w:p w14:paraId="2E7E0441">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default" w:ascii="Times New Roman" w:hAnsi="Times New Roman" w:eastAsia="黑体" w:cs="Times New Roman"/>
          <w:kern w:val="0"/>
          <w:sz w:val="28"/>
          <w:szCs w:val="28"/>
          <w:lang w:val="en-US" w:eastAsia="zh-CN" w:bidi="ar-SA"/>
        </w:rPr>
      </w:pPr>
      <w:r>
        <w:rPr>
          <w:rFonts w:hint="eastAsia" w:ascii="Times New Roman" w:hAnsi="Times New Roman" w:eastAsia="黑体" w:cs="Times New Roman"/>
          <w:kern w:val="0"/>
          <w:sz w:val="28"/>
          <w:szCs w:val="28"/>
          <w:lang w:val="en-US" w:eastAsia="zh-CN" w:bidi="ar-SA"/>
        </w:rPr>
        <w:t>二</w:t>
      </w:r>
      <w:r>
        <w:rPr>
          <w:rFonts w:hint="default" w:ascii="Times New Roman" w:hAnsi="Times New Roman" w:eastAsia="黑体" w:cs="Times New Roman"/>
          <w:kern w:val="0"/>
          <w:sz w:val="28"/>
          <w:szCs w:val="28"/>
          <w:lang w:val="en-US" w:eastAsia="zh-CN" w:bidi="ar-SA"/>
        </w:rPr>
        <w:t>、</w:t>
      </w:r>
      <w:r>
        <w:rPr>
          <w:rFonts w:hint="eastAsia" w:ascii="Times New Roman" w:hAnsi="Times New Roman" w:eastAsia="黑体" w:cs="Times New Roman"/>
          <w:kern w:val="0"/>
          <w:sz w:val="28"/>
          <w:szCs w:val="28"/>
          <w:lang w:val="en-US" w:eastAsia="zh-CN" w:bidi="ar-SA"/>
        </w:rPr>
        <w:t>服务范围</w:t>
      </w:r>
    </w:p>
    <w:p w14:paraId="3621E0B2">
      <w:pPr>
        <w:pStyle w:val="2"/>
        <w:numPr>
          <w:ilvl w:val="0"/>
          <w:numId w:val="0"/>
        </w:numPr>
        <w:ind w:firstLine="240" w:firstLineChars="100"/>
        <w:rPr>
          <w:rFonts w:hint="eastAsia"/>
          <w:sz w:val="24"/>
          <w:szCs w:val="24"/>
          <w:lang w:val="en-US" w:eastAsia="zh-CN"/>
        </w:rPr>
      </w:pPr>
      <w:r>
        <w:rPr>
          <w:rFonts w:hint="eastAsia"/>
          <w:sz w:val="24"/>
          <w:szCs w:val="24"/>
          <w:lang w:val="en-US" w:eastAsia="zh-CN"/>
        </w:rPr>
        <w:t>（一）本项目服务范围为托育综合服务中心园区，主要服务内容包含：</w:t>
      </w:r>
    </w:p>
    <w:p w14:paraId="1820E1CB">
      <w:pPr>
        <w:pStyle w:val="2"/>
        <w:numPr>
          <w:ilvl w:val="0"/>
          <w:numId w:val="0"/>
        </w:numPr>
        <w:ind w:firstLine="480" w:firstLineChars="200"/>
        <w:rPr>
          <w:rFonts w:hint="eastAsia"/>
          <w:sz w:val="24"/>
          <w:szCs w:val="24"/>
          <w:lang w:val="en-US" w:eastAsia="zh-CN"/>
        </w:rPr>
      </w:pPr>
      <w:r>
        <w:rPr>
          <w:rFonts w:hint="eastAsia"/>
          <w:sz w:val="24"/>
          <w:szCs w:val="24"/>
          <w:lang w:val="en-US" w:eastAsia="zh-CN"/>
        </w:rPr>
        <w:t>1.保洁服务：中心各区域日常清洁、消杀及环境卫生维护；</w:t>
      </w:r>
    </w:p>
    <w:p w14:paraId="7F068E7A">
      <w:pPr>
        <w:pStyle w:val="2"/>
        <w:numPr>
          <w:ilvl w:val="0"/>
          <w:numId w:val="0"/>
        </w:numPr>
        <w:ind w:firstLine="480" w:firstLineChars="200"/>
        <w:rPr>
          <w:rFonts w:hint="eastAsia"/>
          <w:sz w:val="24"/>
          <w:szCs w:val="24"/>
          <w:lang w:val="en-US" w:eastAsia="zh-CN"/>
        </w:rPr>
      </w:pPr>
      <w:r>
        <w:rPr>
          <w:rFonts w:hint="eastAsia"/>
          <w:sz w:val="24"/>
          <w:szCs w:val="24"/>
          <w:lang w:val="en-US" w:eastAsia="zh-CN"/>
        </w:rPr>
        <w:t>2.安保服务：秩序维护、门岗值守、出入管理、安全巡查等；</w:t>
      </w:r>
    </w:p>
    <w:p w14:paraId="2CA32AD6">
      <w:pPr>
        <w:pStyle w:val="2"/>
        <w:numPr>
          <w:ilvl w:val="0"/>
          <w:numId w:val="0"/>
        </w:numPr>
        <w:ind w:firstLine="480" w:firstLineChars="200"/>
        <w:rPr>
          <w:rFonts w:hint="eastAsia"/>
          <w:sz w:val="24"/>
          <w:szCs w:val="24"/>
          <w:lang w:val="en-US" w:eastAsia="zh-CN"/>
        </w:rPr>
      </w:pPr>
      <w:r>
        <w:rPr>
          <w:rFonts w:hint="eastAsia"/>
          <w:sz w:val="24"/>
          <w:szCs w:val="24"/>
          <w:lang w:val="en-US" w:eastAsia="zh-CN"/>
        </w:rPr>
        <w:t>3.消防控制室值班：消防控制室24小时值班值守及消防设施巡查；</w:t>
      </w:r>
    </w:p>
    <w:p w14:paraId="65F4EE12">
      <w:pPr>
        <w:pStyle w:val="2"/>
        <w:numPr>
          <w:ilvl w:val="0"/>
          <w:numId w:val="0"/>
        </w:numPr>
        <w:ind w:firstLine="480" w:firstLineChars="200"/>
        <w:rPr>
          <w:rFonts w:hint="eastAsia"/>
          <w:sz w:val="24"/>
          <w:szCs w:val="24"/>
          <w:lang w:val="en-US" w:eastAsia="zh-CN"/>
        </w:rPr>
      </w:pPr>
      <w:r>
        <w:rPr>
          <w:rFonts w:hint="eastAsia"/>
          <w:sz w:val="24"/>
          <w:szCs w:val="24"/>
          <w:lang w:val="en-US" w:eastAsia="zh-CN"/>
        </w:rPr>
        <w:t>4.食堂餐饮服务：婴幼儿及教职工餐食制作、食品加工及厨房卫生管理。</w:t>
      </w:r>
    </w:p>
    <w:p w14:paraId="175E331F">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Times New Roman" w:hAnsi="Times New Roman" w:eastAsia="黑体" w:cs="Times New Roman"/>
          <w:kern w:val="0"/>
          <w:sz w:val="28"/>
          <w:szCs w:val="28"/>
          <w:lang w:val="en-US" w:eastAsia="zh-CN" w:bidi="ar-SA"/>
        </w:rPr>
      </w:pPr>
      <w:r>
        <w:rPr>
          <w:rFonts w:hint="eastAsia" w:ascii="Times New Roman" w:hAnsi="Times New Roman" w:eastAsia="黑体" w:cs="Times New Roman"/>
          <w:kern w:val="0"/>
          <w:sz w:val="28"/>
          <w:szCs w:val="28"/>
          <w:lang w:val="en-US" w:eastAsia="zh-CN" w:bidi="ar-SA"/>
        </w:rPr>
        <w:t>三、服务期限</w:t>
      </w:r>
    </w:p>
    <w:p w14:paraId="2728CCFC">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Times New Roman" w:hAnsi="Times New Roman" w:eastAsia="仿宋_GB2312" w:cstheme="minorBidi"/>
          <w:kern w:val="2"/>
          <w:sz w:val="24"/>
          <w:szCs w:val="24"/>
          <w:lang w:val="en-US" w:eastAsia="zh-CN" w:bidi="ar-SA"/>
        </w:rPr>
      </w:pPr>
      <w:r>
        <w:rPr>
          <w:rFonts w:hint="eastAsia" w:ascii="Times New Roman" w:hAnsi="Times New Roman" w:eastAsia="仿宋_GB2312" w:cstheme="minorBidi"/>
          <w:kern w:val="2"/>
          <w:sz w:val="24"/>
          <w:szCs w:val="24"/>
          <w:lang w:val="en-US" w:eastAsia="zh-CN" w:bidi="ar-SA"/>
        </w:rPr>
        <w:t>服务期3年（合同一年一签）。经采购人年度考核合格，可续签下一年度很合同。</w:t>
      </w:r>
    </w:p>
    <w:p w14:paraId="5E6F9C9B">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Times New Roman" w:hAnsi="Times New Roman" w:eastAsia="黑体" w:cs="Times New Roman"/>
          <w:kern w:val="0"/>
          <w:sz w:val="28"/>
          <w:szCs w:val="28"/>
          <w:lang w:val="en-US" w:eastAsia="zh-CN" w:bidi="ar-SA"/>
        </w:rPr>
      </w:pPr>
      <w:r>
        <w:rPr>
          <w:rFonts w:hint="eastAsia" w:ascii="Times New Roman" w:hAnsi="Times New Roman" w:eastAsia="黑体" w:cs="Times New Roman"/>
          <w:kern w:val="0"/>
          <w:sz w:val="28"/>
          <w:szCs w:val="28"/>
          <w:lang w:val="en-US" w:eastAsia="zh-CN" w:bidi="ar-SA"/>
        </w:rPr>
        <w:t>四、供应商资格条件</w:t>
      </w:r>
    </w:p>
    <w:p w14:paraId="7B88604D">
      <w:pPr>
        <w:pStyle w:val="2"/>
        <w:numPr>
          <w:ilvl w:val="0"/>
          <w:numId w:val="0"/>
        </w:numPr>
        <w:ind w:firstLine="480" w:firstLineChars="200"/>
        <w:rPr>
          <w:rFonts w:hint="default"/>
          <w:sz w:val="24"/>
          <w:szCs w:val="24"/>
          <w:lang w:val="en-US" w:eastAsia="zh-CN"/>
        </w:rPr>
      </w:pPr>
      <w:r>
        <w:rPr>
          <w:rFonts w:hint="eastAsia"/>
          <w:sz w:val="24"/>
          <w:szCs w:val="24"/>
          <w:lang w:val="en-US" w:eastAsia="zh-CN"/>
        </w:rPr>
        <w:t>1.具有独立承担民事责任的能力，在中华人民共和国境内依法注册的企业法人或其他组织，持有有效营业执照，经营范围包含物业管理、保安服务、餐饮服务等相关内容。</w:t>
      </w:r>
    </w:p>
    <w:p w14:paraId="4A4849DB">
      <w:pPr>
        <w:pStyle w:val="2"/>
        <w:numPr>
          <w:ilvl w:val="0"/>
          <w:numId w:val="0"/>
        </w:numPr>
        <w:ind w:firstLine="480" w:firstLineChars="200"/>
        <w:rPr>
          <w:rFonts w:hint="eastAsia"/>
          <w:sz w:val="24"/>
          <w:szCs w:val="24"/>
          <w:lang w:val="en-US" w:eastAsia="zh-CN"/>
        </w:rPr>
      </w:pPr>
      <w:r>
        <w:rPr>
          <w:rFonts w:hint="eastAsia"/>
          <w:sz w:val="24"/>
          <w:szCs w:val="24"/>
          <w:lang w:val="en-US" w:eastAsia="zh-CN"/>
        </w:rPr>
        <w:t>2.具有良好的商业信誉和健全的财务会计制度；</w:t>
      </w:r>
    </w:p>
    <w:p w14:paraId="7D1503D7">
      <w:pPr>
        <w:snapToGrid w:val="0"/>
        <w:spacing w:line="360" w:lineRule="auto"/>
        <w:ind w:firstLine="424" w:firstLineChars="177"/>
        <w:jc w:val="left"/>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3.具有履行合同所必需的设备和专业技术能力；</w:t>
      </w:r>
    </w:p>
    <w:p w14:paraId="27175299">
      <w:pPr>
        <w:snapToGrid w:val="0"/>
        <w:spacing w:line="360" w:lineRule="auto"/>
        <w:ind w:firstLine="424" w:firstLineChars="177"/>
        <w:jc w:val="left"/>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4.有依法缴纳税收和社会保障资金的良好记录；</w:t>
      </w:r>
    </w:p>
    <w:p w14:paraId="354EED53">
      <w:pPr>
        <w:snapToGrid w:val="0"/>
        <w:spacing w:line="360" w:lineRule="auto"/>
        <w:ind w:firstLine="424" w:firstLineChars="177"/>
        <w:jc w:val="left"/>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5.参加政府采购活动前三年内，在经营活动中没有重大违法记录；</w:t>
      </w:r>
    </w:p>
    <w:p w14:paraId="682326C6">
      <w:pPr>
        <w:snapToGrid w:val="0"/>
        <w:spacing w:line="360" w:lineRule="auto"/>
        <w:ind w:firstLine="424" w:firstLineChars="177"/>
        <w:jc w:val="left"/>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6.从事安保服务须持有公安机关颁发的保安服务许可证；从事食堂餐饮服务须持有有效的食品经营许可证；</w:t>
      </w:r>
    </w:p>
    <w:p w14:paraId="050E7214">
      <w:pPr>
        <w:snapToGrid w:val="0"/>
        <w:spacing w:line="360" w:lineRule="auto"/>
        <w:ind w:firstLine="424" w:firstLineChars="177"/>
        <w:jc w:val="left"/>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7.未被列入"信用中国"网站失信被执行人名单、重大税收违法失信主体名单，未被列入"中国政府采购网"政府采购严重违法失信行为记录名单（处罚期限尚未届满的）；</w:t>
      </w:r>
    </w:p>
    <w:p w14:paraId="013476A2">
      <w:pPr>
        <w:snapToGrid w:val="0"/>
        <w:spacing w:line="360" w:lineRule="auto"/>
        <w:ind w:firstLine="424" w:firstLineChars="177"/>
        <w:jc w:val="left"/>
        <w:rPr>
          <w:rFonts w:hint="eastAsia" w:ascii="方正仿宋简体" w:hAnsi="方正仿宋简体" w:eastAsia="方正仿宋简体" w:cs="方正仿宋简体"/>
          <w:sz w:val="24"/>
          <w:szCs w:val="24"/>
        </w:rPr>
      </w:pPr>
      <w:r>
        <w:rPr>
          <w:rFonts w:hint="eastAsia" w:ascii="方正仿宋简体" w:hAnsi="方正仿宋简体" w:eastAsia="方正仿宋简体" w:cs="方正仿宋简体"/>
          <w:sz w:val="24"/>
          <w:szCs w:val="24"/>
        </w:rPr>
        <w:t>8.本项目接受具备综合能力的供应商参与，如不具备全部资质，也可只针对具有相关资质的部分报价</w:t>
      </w:r>
      <w:r>
        <w:rPr>
          <w:rFonts w:hint="eastAsia" w:ascii="方正仿宋简体" w:hAnsi="方正仿宋简体" w:eastAsia="方正仿宋简体" w:cs="方正仿宋简体"/>
          <w:sz w:val="24"/>
          <w:szCs w:val="24"/>
          <w:lang w:eastAsia="zh-CN"/>
        </w:rPr>
        <w:t>，</w:t>
      </w:r>
      <w:r>
        <w:rPr>
          <w:rFonts w:hint="eastAsia" w:ascii="方正仿宋简体" w:hAnsi="方正仿宋简体" w:eastAsia="方正仿宋简体" w:cs="方正仿宋简体"/>
          <w:sz w:val="24"/>
          <w:szCs w:val="24"/>
        </w:rPr>
        <w:t>具体分包（包组）设置以最终采购文件为准。</w:t>
      </w:r>
    </w:p>
    <w:p w14:paraId="3759E526">
      <w:pPr>
        <w:snapToGrid w:val="0"/>
        <w:spacing w:line="360" w:lineRule="auto"/>
        <w:ind w:firstLine="424" w:firstLineChars="177"/>
        <w:jc w:val="left"/>
        <w:rPr>
          <w:rFonts w:hint="eastAsia" w:ascii="方正仿宋简体" w:hAnsi="方正仿宋简体" w:eastAsia="方正仿宋简体" w:cs="方正仿宋简体"/>
          <w:sz w:val="24"/>
          <w:szCs w:val="24"/>
        </w:rPr>
      </w:pPr>
    </w:p>
    <w:p w14:paraId="7A7FF35B">
      <w:pPr>
        <w:snapToGrid w:val="0"/>
        <w:spacing w:line="360" w:lineRule="auto"/>
        <w:ind w:firstLine="424" w:firstLineChars="177"/>
        <w:jc w:val="left"/>
        <w:rPr>
          <w:rFonts w:hint="eastAsia" w:ascii="方正仿宋简体" w:hAnsi="方正仿宋简体" w:eastAsia="方正仿宋简体" w:cs="方正仿宋简体"/>
          <w:sz w:val="24"/>
          <w:szCs w:val="24"/>
        </w:rPr>
      </w:pPr>
    </w:p>
    <w:p w14:paraId="0B2C444D">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Times New Roman" w:hAnsi="Times New Roman" w:eastAsia="黑体" w:cs="Times New Roman"/>
          <w:kern w:val="0"/>
          <w:sz w:val="28"/>
          <w:szCs w:val="28"/>
          <w:lang w:val="en-US" w:eastAsia="zh-CN" w:bidi="ar-SA"/>
        </w:rPr>
      </w:pPr>
      <w:r>
        <w:rPr>
          <w:rFonts w:hint="eastAsia" w:ascii="Times New Roman" w:hAnsi="Times New Roman" w:eastAsia="黑体" w:cs="Times New Roman"/>
          <w:kern w:val="0"/>
          <w:sz w:val="28"/>
          <w:szCs w:val="28"/>
          <w:lang w:val="en-US" w:eastAsia="zh-CN" w:bidi="ar-SA"/>
        </w:rPr>
        <w:t>五、采购需求内容</w:t>
      </w:r>
    </w:p>
    <w:p w14:paraId="2C555642">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right="0" w:rightChars="0" w:firstLine="240" w:firstLineChars="10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（一） 保洁服务需求</w:t>
      </w:r>
    </w:p>
    <w:p w14:paraId="4A69676D">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1.服务目标</w:t>
      </w:r>
    </w:p>
    <w:p w14:paraId="144FFE8F">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方正仿宋简体" w:hAnsi="方正仿宋简体" w:eastAsia="方正仿宋简体" w:cs="方正仿宋简体"/>
          <w:sz w:val="24"/>
          <w:szCs w:val="24"/>
        </w:rPr>
      </w:pPr>
      <w:r>
        <w:rPr>
          <w:rFonts w:hint="eastAsia" w:ascii="仿宋" w:hAnsi="仿宋" w:eastAsia="仿宋" w:cs="仿宋"/>
          <w:kern w:val="0"/>
          <w:sz w:val="24"/>
          <w:szCs w:val="24"/>
          <w:lang w:val="en-US" w:eastAsia="zh-CN" w:bidi="ar-SA"/>
        </w:rPr>
        <w:t>保障托育综合服务中心各区域环境整洁、卫生达标，符合《托育机构管理规范（试行）》及卫生防疫相关规定，</w:t>
      </w:r>
      <w:r>
        <w:rPr>
          <w:rFonts w:hint="eastAsia" w:ascii="仿宋" w:hAnsi="仿宋" w:eastAsia="仿宋" w:cs="仿宋"/>
          <w:sz w:val="24"/>
          <w:szCs w:val="24"/>
        </w:rPr>
        <w:t>为</w:t>
      </w:r>
      <w:r>
        <w:rPr>
          <w:rFonts w:hint="eastAsia" w:ascii="方正仿宋简体" w:hAnsi="方正仿宋简体" w:eastAsia="方正仿宋简体" w:cs="方正仿宋简体"/>
          <w:sz w:val="24"/>
          <w:szCs w:val="24"/>
        </w:rPr>
        <w:t>婴幼儿及教职工提供安全、清洁、舒适的照护和办公环境。</w:t>
      </w:r>
    </w:p>
    <w:p w14:paraId="1C7D89DB">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2. 服务范围</w:t>
      </w:r>
    </w:p>
    <w:p w14:paraId="146F5052">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中心院区内全部公共区域及指定功能区域，主要包括：婴幼儿活动室、睡眠室、保健室、盥洗室、多功能厅、办公室、会议室、走廊、楼梯间、大厅、卫生间、厨房外围区域及室外活动场地等。</w:t>
      </w:r>
    </w:p>
    <w:p w14:paraId="5535C1A6">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3.人员配置</w:t>
      </w:r>
    </w:p>
    <w:p w14:paraId="1F0DFDF9">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根据中心建筑规模及实际保洁面积，初步拟配备保洁人员若干名。具体岗位设置、人数及工作时间将依据现场踏勘和实际需求确定，欢迎供应商结合服务面积提出合理的配置建议。</w:t>
      </w:r>
    </w:p>
    <w:p w14:paraId="5E1FD6B0">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 服务内容与标准</w:t>
      </w:r>
    </w:p>
    <w:p w14:paraId="7B018CE5">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4.1地面保洁：每日定时清扫、拖拭，保持地面无灰尘、无积水、无污渍、无杂物，婴幼儿活动区域采用符合婴幼儿安全要求的清洁方式；</w:t>
      </w:r>
    </w:p>
    <w:p w14:paraId="6FBBE56F">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4.2设施设备保洁：对桌椅、门窗、扶手、卫生间设施、婴幼儿活动器械等进行日常清洁和定期消毒，做到无积尘、无污垢、无卫生死角；</w:t>
      </w:r>
    </w:p>
    <w:p w14:paraId="3ADB857C">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4.3垃圾清运：垃圾日产日清，分类投放，垃圾桶每日冲洗消毒，及时更换垃圾袋；</w:t>
      </w:r>
    </w:p>
    <w:p w14:paraId="39BFDE04">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4.4重点区域消杀：婴幼儿活动室、盥洗室等重点区域按要求定期消毒，做好消杀记录台账；</w:t>
      </w:r>
    </w:p>
    <w:p w14:paraId="63EC226B">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4.5保洁用品管理：保洁工具分区分类使用、规范存放，避免交叉污染，消毒剂等用品按标准配比使用并妥善保管；</w:t>
      </w:r>
    </w:p>
    <w:p w14:paraId="3E697CD3">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方正仿宋简体" w:hAnsi="方正仿宋简体" w:eastAsia="方正仿宋简体" w:cs="方正仿宋简体"/>
          <w:sz w:val="24"/>
          <w:szCs w:val="24"/>
        </w:rPr>
      </w:pPr>
      <w:r>
        <w:rPr>
          <w:rFonts w:hint="eastAsia" w:ascii="仿宋" w:hAnsi="仿宋" w:eastAsia="仿宋" w:cs="仿宋"/>
          <w:kern w:val="0"/>
          <w:sz w:val="24"/>
          <w:szCs w:val="24"/>
          <w:lang w:val="en-US" w:eastAsia="zh-CN" w:bidi="ar-SA"/>
        </w:rPr>
        <w:t>4.6配合督导检查：配合市场监管、卫生健康、托育专项等督导检查，对提出的整</w:t>
      </w:r>
      <w:r>
        <w:rPr>
          <w:rFonts w:hint="eastAsia" w:ascii="方正仿宋简体" w:hAnsi="方正仿宋简体" w:eastAsia="方正仿宋简体" w:cs="方正仿宋简体"/>
          <w:sz w:val="24"/>
          <w:szCs w:val="24"/>
        </w:rPr>
        <w:t>改事项限时落实。</w:t>
      </w:r>
    </w:p>
    <w:p w14:paraId="62066B4F">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 .保洁人员要求</w:t>
      </w:r>
    </w:p>
    <w:p w14:paraId="01E2E7F0">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5.1身体健康，无传染性疾病及精神病史，持有效健康证明上岗；</w:t>
      </w:r>
    </w:p>
    <w:p w14:paraId="16DCC0B0">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5.2责任心强，工作态度端正，掌握消毒杀菌基本知识和规范操作技能；</w:t>
      </w:r>
    </w:p>
    <w:p w14:paraId="5B03D5CD">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5.3熟悉婴幼儿活动区域卫生标准，了解消毒剂安全使用规范；</w:t>
      </w:r>
    </w:p>
    <w:p w14:paraId="033B7EAD">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5.4上岗前须参加采购人组织的卫生防疫及岗位安全培训。</w:t>
      </w:r>
    </w:p>
    <w:p w14:paraId="24B5DA5F">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right="0" w:right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（二） 安保服务需求</w:t>
      </w:r>
    </w:p>
    <w:p w14:paraId="36BE3037">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1.服务目标</w:t>
      </w:r>
    </w:p>
    <w:p w14:paraId="317EEAB5">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维护托育综合服务中心秩序，保障婴幼儿、教职工及访客人身财产安全，防范各类安全风险，落实出入管理、安全巡查、应急处置等安防职责，营造安全有序的托育环境。</w:t>
      </w:r>
    </w:p>
    <w:p w14:paraId="4AF0C8D6">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2.服务范围</w:t>
      </w:r>
    </w:p>
    <w:p w14:paraId="4CE316D6">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中心园区出入口门岗、各楼层及室外活动场地，负责门岗值守、出入登记、安全巡查、秩序维护、车辆管理及突发事件应急处置等工作。</w:t>
      </w:r>
    </w:p>
    <w:p w14:paraId="70F2A115">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3.人员配置</w:t>
      </w:r>
    </w:p>
    <w:p w14:paraId="75A3DA1F">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根据中心安全防范实际需要，初步拟配备安保人员若干名，实行24小时值班制度，分白班、夜班轮值，确保各时段均有人员值守。具体岗位设置、班次安排及人数将依据现场踏勘和实际需求确定。</w:t>
      </w:r>
    </w:p>
    <w:p w14:paraId="4219CD5D">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4.服务内容与标准</w:t>
      </w:r>
    </w:p>
    <w:p w14:paraId="42F74A44">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4.1门岗值守：实行24小时值守，严格落实人员、车辆出入登记管理制度，查验访客身份并登记，严禁无关人员进入婴幼儿活动区域；</w:t>
      </w:r>
    </w:p>
    <w:p w14:paraId="41F8314E">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4.2安全巡查：按规定频次对院区各区域进行安全巡查，重点检查门锁、门窗、消防通道、监控设备运行状况，发现异常及时处置并上报；</w:t>
      </w:r>
    </w:p>
    <w:p w14:paraId="35E31FE6">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4.3秩序维护：维护中心内外秩序，疏导车辆停放，保障出入通道畅通，劝阻各类扰乱秩序行为；</w:t>
      </w:r>
    </w:p>
    <w:p w14:paraId="6291A634">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4.4安防设备管理：熟悉监控系统、门禁系统、一键报警等安防设备操作，发现设备故障及时报告；</w:t>
      </w:r>
    </w:p>
    <w:p w14:paraId="11E6BC59">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4.5应急处置：制定并落实安保应急预案，遇突发事件（如幼儿走失、可疑人员进入、火情等）及时响应、妥善处置并上报；</w:t>
      </w:r>
    </w:p>
    <w:p w14:paraId="4A37D3CB">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4.6值班记录：规范填写值班日志、出入登记、巡查记录，做到记录完整、真实、可追溯。</w:t>
      </w:r>
    </w:p>
    <w:p w14:paraId="4FC1F236">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 安保人员要求</w:t>
      </w:r>
    </w:p>
    <w:p w14:paraId="5F160628">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5.1身体健康，责任心强，具备基本安全防范知识和应急处置能力；</w:t>
      </w:r>
    </w:p>
    <w:p w14:paraId="7D5CCC9C">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5.2熟悉安保器械使用及安全防范操作规程，掌握基本防卫技能；</w:t>
      </w:r>
    </w:p>
    <w:p w14:paraId="6323172D">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5.3持有有效保安员证或具备相应从业资格；</w:t>
      </w:r>
    </w:p>
    <w:p w14:paraId="4EC042C0">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5.4无犯罪记录，品行端正，经背景审查合格后方可上岗；</w:t>
      </w:r>
    </w:p>
    <w:p w14:paraId="666D4D99">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5.5上岗前须参加采购人组织的岗位培训及安全应急演练。</w:t>
      </w:r>
    </w:p>
    <w:p w14:paraId="0551A5A0">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right="0" w:right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（三）消防控制室值班服务需求</w:t>
      </w:r>
    </w:p>
    <w:p w14:paraId="2BAFF640">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1.服务目标</w:t>
      </w:r>
    </w:p>
    <w:p w14:paraId="1896E293">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落实消防控制室24小时值班值守制度，确保火灾自动报警系统、消防联动控制系统等设施设备正常运行，及时发现和处置火情隐患，保障中心消防安全。</w:t>
      </w:r>
    </w:p>
    <w:p w14:paraId="372EE7E2">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2. 服务范围</w:t>
      </w:r>
    </w:p>
    <w:p w14:paraId="7BEFE6EF">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中心消防控制室值班值守，消防设施设备运行状态监控、日常巡查及应急处置。</w:t>
      </w:r>
    </w:p>
    <w:p w14:paraId="20797AE1">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3.人员配置</w:t>
      </w:r>
    </w:p>
    <w:p w14:paraId="78CF6930">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消防控制室实行24小时值班制度，值班人员应不少于规定人数，实行轮班制，确保每班均有持证人员值守。具体班次设置及人数将依据消防管理规定和中心实际确定。</w:t>
      </w:r>
    </w:p>
    <w:p w14:paraId="0B542BAA">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4.服务内容与标准</w:t>
      </w:r>
    </w:p>
    <w:p w14:paraId="4FB94436">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4.1消防控制室实行24小时不间断值守，值班人员不得脱岗、漏岗，认真记录值班情况；</w:t>
      </w:r>
    </w:p>
    <w:p w14:paraId="65E5CB83">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4.2设备监控：实时监控火灾自动报警系统、消防联动控制系统、消防水池水位、消防泵等设备运行状态，发现报警信号及时核实处置；</w:t>
      </w:r>
    </w:p>
    <w:p w14:paraId="15162994">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4.3火情处置：接到火警信号后立即按规程核查处置，确认为火情的，及时启动消防应急预案、报警并通知相关人员，同时向采购人报告；</w:t>
      </w:r>
    </w:p>
    <w:p w14:paraId="64250584">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4.4设施巡查：按规定频次对消防设施设备进行日常巡查，做好巡查记录，发现故障、损坏及时报修；</w:t>
      </w:r>
    </w:p>
    <w:p w14:paraId="036C3D24">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4.5值班记录：规范填写消防控制室值班记录、设备运行记录、火警处置记录，记录完整、真实、可追溯。</w:t>
      </w:r>
    </w:p>
    <w:p w14:paraId="7513018B">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5.值班人员要求</w:t>
      </w:r>
    </w:p>
    <w:p w14:paraId="14A497F2">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5.1持有消防行业特有工种职业资格证书（消防设施操作员证中级或以上），或具备相应从业资格；</w:t>
      </w:r>
    </w:p>
    <w:p w14:paraId="616C6781">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5.2熟悉消防控制室设备操作及火灾自动报警系统处置规程；</w:t>
      </w:r>
    </w:p>
    <w:p w14:paraId="2D11A0D9">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5.3身体健康，责任心强，能够胜任24小时值班值守工作；</w:t>
      </w:r>
    </w:p>
    <w:p w14:paraId="12256E18">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5.4熟悉本单位消防应急预案，掌握火情应急处置和初期火灾扑救技能；</w:t>
      </w:r>
    </w:p>
    <w:p w14:paraId="4F18C18D">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5.5无犯罪记录，上岗前须参加采购人组织的消防安全培训。</w:t>
      </w:r>
    </w:p>
    <w:p w14:paraId="148212CA">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right="0" w:rightChars="0" w:firstLine="240" w:firstLineChars="10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（四）食堂餐饮服务需求</w:t>
      </w:r>
    </w:p>
    <w:p w14:paraId="0AFE1CF2">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1.服务目标</w:t>
      </w:r>
    </w:p>
    <w:p w14:paraId="40025F1A">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依据婴幼儿膳食营养标准及食品安全管理规定，为在托婴幼儿、在岗教职工提供安全、卫生、营养均衡的餐食服务，保障食品加工操作规范，落实食品安全各项制度。</w:t>
      </w:r>
    </w:p>
    <w:p w14:paraId="7E7BA6B1">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2.服务范围</w:t>
      </w:r>
    </w:p>
    <w:p w14:paraId="41F44C94">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中心食堂婴幼儿及教职工餐食加工制作（如遇培训工作时需提供培训人员餐食制作，培训人数120-150人左右）、分餐送餐、餐具清洗消毒、厨房环境卫生维护及相关台账管理等工作。</w:t>
      </w:r>
    </w:p>
    <w:p w14:paraId="4B33B7A7">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3.人员配置</w:t>
      </w:r>
    </w:p>
    <w:p w14:paraId="1F73BBC8">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根据中心在托婴幼儿人数及供餐模式，初步拟配备食堂工作人员若干名（含厨师、面点师、帮厨等岗位），具体岗位设置及人数将依据实际就餐人数和需求确定。</w:t>
      </w:r>
    </w:p>
    <w:p w14:paraId="3239672B">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4.服务内容与标准</w:t>
      </w:r>
    </w:p>
    <w:p w14:paraId="1EF7FCDB">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4.1餐食加工制作：严格按照采购人审定的带量食谱进行标准化加工，为婴幼儿制作适配的辅食、软质幼儿餐及面点，为教职工提供工作餐，做到荤素搭配、营养均衡；</w:t>
      </w:r>
    </w:p>
    <w:p w14:paraId="1DC29FFA">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4.2食材验收管理：负责食材到货验收，核对数量、查验质量，发现变质、异味、不合格食材第一时间上报采购人，严格落实索证索票制度并建立台账；</w:t>
      </w:r>
    </w:p>
    <w:p w14:paraId="584EBFA9">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4.3食品留样：每餐食品按规定进行48小时留样，规范标注菜品名称、餐次、制作时间并做好留样登记；</w:t>
      </w:r>
    </w:p>
    <w:p w14:paraId="55E45461">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4.4餐具清洗消毒：严格执行"一洗二冲三消毒四保洁"操作流程，婴幼儿餐具与教职工餐具分区清洗消毒、密闭保洁存放，杜绝交叉污染；</w:t>
      </w:r>
    </w:p>
    <w:p w14:paraId="4E29FF25">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4.5环境卫生维护：保持厨房操作间、洗消间、食材储藏间等区域清洁卫生，无卫生死角，厨余垃圾日产日清、分类规范投放；</w:t>
      </w:r>
    </w:p>
    <w:p w14:paraId="5F7D44D3">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4.6食品安全管理：严格执行《中华人民共和国食品安全法》等法律法规，落实食品原料分类分区、离墙离地存放，防蝇防鼠防虫设施完好，定期清理过期变质食品；</w:t>
      </w:r>
    </w:p>
    <w:p w14:paraId="22C7E9AA">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4.7台账管理：配合采购人做好食材领用、消耗、库存及食品留样等台账登记，配合定期盘点核查；</w:t>
      </w:r>
    </w:p>
    <w:p w14:paraId="53EE2D2F">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4.8配合督导检查：配合市场监管、卫生健康等部门的食品安全检查，落实整改要求。</w:t>
      </w:r>
    </w:p>
    <w:p w14:paraId="3D4C40E0">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 餐饮人员要求</w:t>
      </w:r>
    </w:p>
    <w:p w14:paraId="5253BF8B">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5.1持有有效餐饮从业人员健康证，身体健康，无传染病、皮肤病及其他妨碍食品安全的疾病；</w:t>
      </w:r>
    </w:p>
    <w:p w14:paraId="2169F13E">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5.2厨师具备婴幼儿膳食制作实操经验，熟悉婴幼儿辅食制作特点，能制作泥糊状辅食、碎末餐、软质幼儿餐及婴幼儿面点等；</w:t>
      </w:r>
    </w:p>
    <w:p w14:paraId="779A33E3">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5.3严格执行低盐、低糖、无添加剂、少油炸、禁腌制等婴幼儿膳食标准，熟悉过敏儿童专属配餐管理；</w:t>
      </w:r>
    </w:p>
    <w:p w14:paraId="74A98901">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5.4无犯罪记录、无食品安全违规处罚记录；</w:t>
      </w:r>
    </w:p>
    <w:p w14:paraId="6A152EED">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5.5上岗前须参加采购人组织的婴幼儿膳食、食品安全专项培训与考核。</w:t>
      </w:r>
    </w:p>
    <w:p w14:paraId="0C740A30">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right="0" w:right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（五） 综合管理要求</w:t>
      </w:r>
    </w:p>
    <w:p w14:paraId="6523BBF4">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1.人员上岗前须向采购人提交健康证、相关资格证书及无犯罪记录证明，上岗前统一组织在岗人员体检，体检费用由成交供应商承担；</w:t>
      </w:r>
    </w:p>
    <w:p w14:paraId="1A096888">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2.供应商统一配发全套工装及岗位劳保用品，人员在岗须规范穿戴；</w:t>
      </w:r>
    </w:p>
    <w:p w14:paraId="34A56937">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3.建立每日岗前晨检制度，发热、腹泻、皮肤伤口感染等人员立即离岗，供应商应在24小时内完成同等资质人员替补，不得出现空岗；</w:t>
      </w:r>
    </w:p>
    <w:p w14:paraId="0FE7E543">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4.人员更换须提前5个工作日向采购人提交申请，经采购人审核通过后方可调换，未经许可不得私自更换；</w:t>
      </w:r>
    </w:p>
    <w:p w14:paraId="4CEE532B">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5.供应商须常备同资质备用替补人员，应对员工事假、病假、离职缺口，保障各项后勤服务不间断；</w:t>
      </w:r>
    </w:p>
    <w:p w14:paraId="6C0339FB">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6.所有派驻人员须按规定与供应商签订劳动合同，并依法缴纳社会保险及安全责任险，供应商应保障人员工资不低于当地最低工资标准；</w:t>
      </w:r>
    </w:p>
    <w:p w14:paraId="1A38CB9B">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方正仿宋简体" w:hAnsi="方正仿宋简体" w:eastAsia="方正仿宋简体" w:cs="方正仿宋简体"/>
          <w:sz w:val="24"/>
          <w:szCs w:val="24"/>
        </w:rPr>
      </w:pPr>
      <w:r>
        <w:rPr>
          <w:rFonts w:hint="eastAsia" w:ascii="仿宋" w:hAnsi="仿宋" w:eastAsia="仿宋" w:cs="仿宋"/>
          <w:kern w:val="0"/>
          <w:sz w:val="24"/>
          <w:szCs w:val="24"/>
          <w:lang w:val="en-US" w:eastAsia="zh-CN" w:bidi="ar-SA"/>
        </w:rPr>
        <w:t>7.派驻人员应服从采购人现场调度，参加采购人组织的各类专项培训与考核，考核不合格人员供应商须及时更换到位。</w:t>
      </w:r>
    </w:p>
    <w:p w14:paraId="42380B43">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right="0" w:rightChars="0" w:firstLine="280" w:firstLineChars="100"/>
        <w:jc w:val="both"/>
        <w:textAlignment w:val="auto"/>
        <w:rPr>
          <w:rFonts w:hint="eastAsia" w:ascii="Times New Roman" w:hAnsi="Times New Roman" w:eastAsia="黑体" w:cs="Times New Roman"/>
          <w:kern w:val="0"/>
          <w:sz w:val="28"/>
          <w:szCs w:val="28"/>
          <w:lang w:val="en-US" w:eastAsia="zh-CN" w:bidi="ar-SA"/>
        </w:rPr>
      </w:pPr>
      <w:r>
        <w:rPr>
          <w:rFonts w:hint="eastAsia" w:ascii="Times New Roman" w:hAnsi="Times New Roman" w:eastAsia="黑体" w:cs="Times New Roman"/>
          <w:kern w:val="0"/>
          <w:sz w:val="28"/>
          <w:szCs w:val="28"/>
          <w:lang w:val="en-US" w:eastAsia="zh-CN" w:bidi="ar-SA"/>
        </w:rPr>
        <w:t>六、报价要求</w:t>
      </w:r>
    </w:p>
    <w:p w14:paraId="7F59E964">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本项目拟采用总价包干报价方式，供应商报价为年度服务总价，包含派驻人员全部成本及为完成本项目所需的一切费用，具体包括：</w:t>
      </w:r>
    </w:p>
    <w:p w14:paraId="58FFABE5">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1.人员工资及奖金；</w:t>
      </w:r>
    </w:p>
    <w:p w14:paraId="696AC12D">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2.社会保险费、公积金及雇主责任险等保险费用；</w:t>
      </w:r>
    </w:p>
    <w:p w14:paraId="672468BE">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3.体检费、工装劳保用品费、培训费；</w:t>
      </w:r>
    </w:p>
    <w:p w14:paraId="311054E0">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4.管理费、利润、税金及风险费用等。</w:t>
      </w:r>
    </w:p>
    <w:p w14:paraId="5103A14A">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采购人除按合同约定支付服务费外，不再支付其他任何费用。</w:t>
      </w:r>
    </w:p>
    <w:p w14:paraId="6FEF24EE">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right="0" w:rightChars="0" w:firstLine="280" w:firstLineChars="100"/>
        <w:jc w:val="both"/>
        <w:textAlignment w:val="auto"/>
        <w:rPr>
          <w:rFonts w:hint="eastAsia" w:ascii="Times New Roman" w:hAnsi="Times New Roman" w:eastAsia="黑体" w:cs="Times New Roman"/>
          <w:kern w:val="0"/>
          <w:sz w:val="28"/>
          <w:szCs w:val="28"/>
          <w:lang w:val="en-US" w:eastAsia="zh-CN" w:bidi="ar-SA"/>
        </w:rPr>
      </w:pPr>
      <w:r>
        <w:rPr>
          <w:rFonts w:hint="eastAsia" w:ascii="Times New Roman" w:hAnsi="Times New Roman" w:eastAsia="黑体" w:cs="Times New Roman"/>
          <w:kern w:val="0"/>
          <w:sz w:val="28"/>
          <w:szCs w:val="28"/>
          <w:lang w:val="en-US" w:eastAsia="zh-CN" w:bidi="ar-SA"/>
        </w:rPr>
        <w:t>七、调研内容</w:t>
      </w:r>
    </w:p>
    <w:p w14:paraId="33BAF304">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欢迎各潜在供应商结合本文件，就以下内容提供意见或建议：</w:t>
      </w:r>
    </w:p>
    <w:p w14:paraId="7FCC7D10">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1.各服务板块的人员配置建议及岗位数量意见；</w:t>
      </w:r>
    </w:p>
    <w:p w14:paraId="02214DF3">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2.各服务板块的服务标准、考核指标建议；</w:t>
      </w:r>
    </w:p>
    <w:p w14:paraId="4198C3E2">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3.各服务板块的市场价格水平及年度服务费参考报价；</w:t>
      </w:r>
    </w:p>
    <w:p w14:paraId="0A3325C2">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4.对各服务板块需求内容的合理性、完整性意见；</w:t>
      </w:r>
    </w:p>
    <w:p w14:paraId="05AF5612">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5.其他与本项目采购需求相关的意见或建议。</w:t>
      </w:r>
    </w:p>
    <w:p w14:paraId="1A09FF68">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right="0" w:rightChars="0" w:firstLine="280" w:firstLineChars="100"/>
        <w:jc w:val="both"/>
        <w:textAlignment w:val="auto"/>
        <w:rPr>
          <w:rFonts w:hint="eastAsia" w:ascii="Times New Roman" w:hAnsi="Times New Roman" w:eastAsia="黑体" w:cs="Times New Roman"/>
          <w:kern w:val="0"/>
          <w:sz w:val="28"/>
          <w:szCs w:val="28"/>
          <w:lang w:val="en-US" w:eastAsia="zh-CN" w:bidi="ar-SA"/>
        </w:rPr>
      </w:pPr>
      <w:r>
        <w:rPr>
          <w:rFonts w:hint="eastAsia" w:ascii="Times New Roman" w:hAnsi="Times New Roman" w:eastAsia="黑体" w:cs="Times New Roman"/>
          <w:kern w:val="0"/>
          <w:sz w:val="28"/>
          <w:szCs w:val="28"/>
          <w:lang w:val="en-US" w:eastAsia="zh-CN" w:bidi="ar-SA"/>
        </w:rPr>
        <w:t>八、特别说明</w:t>
      </w:r>
    </w:p>
    <w:p w14:paraId="34E91854">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1.本次市场调研为采购需求调查环节，不构成采购要约，不确定成交供应商，不对参与调研的供应商产生任何资格影响；</w:t>
      </w:r>
    </w:p>
    <w:p w14:paraId="33B3CBF1">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2.本次调研收集的信息仅供采购人进行需求论证和价格测算使用，采购人对调研信息予以保密；</w:t>
      </w:r>
    </w:p>
    <w:p w14:paraId="3572EECB">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3.严禁各供应商借本次调研进行恶意串通、恶意报价等违规行为，一经发现将依法处理。</w:t>
      </w:r>
    </w:p>
    <w:p w14:paraId="24B56919">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p>
    <w:p w14:paraId="7CB8EC1B">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p>
    <w:p w14:paraId="76BE393D">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bookmarkStart w:id="0" w:name="_GoBack"/>
      <w:bookmarkEnd w:id="0"/>
    </w:p>
    <w:p w14:paraId="0C2F2747">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p>
    <w:p w14:paraId="4D0FED2B">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both"/>
        <w:textAlignment w:val="auto"/>
        <w:rPr>
          <w:rFonts w:hint="eastAsia" w:ascii="仿宋" w:hAnsi="仿宋" w:eastAsia="仿宋" w:cs="仿宋"/>
          <w:kern w:val="0"/>
          <w:sz w:val="24"/>
          <w:szCs w:val="24"/>
          <w:lang w:val="en-US" w:eastAsia="zh-CN" w:bidi="ar-SA"/>
        </w:rPr>
      </w:pPr>
    </w:p>
    <w:p w14:paraId="1AF5BA56">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right"/>
        <w:textAlignment w:val="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成都市新都区妇幼保健院</w:t>
      </w:r>
    </w:p>
    <w:p w14:paraId="2D7898DA">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90" w:lineRule="exact"/>
        <w:ind w:left="0" w:leftChars="0" w:right="0" w:rightChars="0" w:firstLine="600" w:firstLineChars="0"/>
        <w:jc w:val="right"/>
        <w:textAlignment w:val="auto"/>
        <w:rPr>
          <w:rFonts w:hint="default"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2026年11月3日</w:t>
      </w:r>
    </w:p>
    <w:sectPr>
      <w:footerReference r:id="rId3" w:type="default"/>
      <w:pgSz w:w="11906" w:h="16838"/>
      <w:pgMar w:top="1553" w:right="1576" w:bottom="1440" w:left="1633"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F23CD88-19FD-48CF-9C03-7838BD917A7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6133DF9-1D3C-4D7C-8D4B-FBB3488EEFA0}"/>
  </w:font>
  <w:font w:name="仿宋_GB2312">
    <w:altName w:val="仿宋"/>
    <w:panose1 w:val="02010609030101010101"/>
    <w:charset w:val="86"/>
    <w:family w:val="modern"/>
    <w:pitch w:val="default"/>
    <w:sig w:usb0="00000000" w:usb1="00000000" w:usb2="00000000" w:usb3="00000000" w:csb0="00040000" w:csb1="00000000"/>
    <w:embedRegular r:id="rId3" w:fontKey="{43F77236-E28A-4E22-9953-5179BF7E89B9}"/>
  </w:font>
  <w:font w:name="仿宋">
    <w:panose1 w:val="02010609060101010101"/>
    <w:charset w:val="86"/>
    <w:family w:val="modern"/>
    <w:pitch w:val="default"/>
    <w:sig w:usb0="800002BF" w:usb1="38CF7CFA" w:usb2="00000016" w:usb3="00000000" w:csb0="00040001" w:csb1="00000000"/>
    <w:embedRegular r:id="rId4" w:fontKey="{F6F938BB-80F9-4176-AA34-84746F1C50FB}"/>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embedRegular r:id="rId5" w:fontKey="{19664D8E-6C95-457F-B040-3D2FDEE6A787}"/>
  </w:font>
  <w:font w:name="方正仿宋简体">
    <w:panose1 w:val="02000000000000000000"/>
    <w:charset w:val="86"/>
    <w:family w:val="auto"/>
    <w:pitch w:val="default"/>
    <w:sig w:usb0="A00002BF" w:usb1="184F6CFA" w:usb2="00000012" w:usb3="00000000" w:csb0="00040001" w:csb1="00000000"/>
    <w:embedRegular r:id="rId6" w:fontKey="{002A49BA-DA01-4EF3-910F-806836101BE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40B01">
    <w:pPr>
      <w:pStyle w:val="5"/>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2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045343E">
                          <w:pPr>
                            <w:pStyle w:val="5"/>
                          </w:pPr>
                          <w:r>
                            <w:fldChar w:fldCharType="begin"/>
                          </w:r>
                          <w:r>
                            <w:instrText xml:space="preserve"> PAGE  \* MERGEFORMAT </w:instrText>
                          </w:r>
                          <w:r>
                            <w:fldChar w:fldCharType="separate"/>
                          </w:r>
                          <w:r>
                            <w:t>1</w:t>
                          </w:r>
                          <w:r>
                            <w:fldChar w:fldCharType="end"/>
                          </w:r>
                        </w:p>
                      </w:txbxContent>
                    </wps:txbx>
                    <wps:bodyPr vert="horz" wrap="none" lIns="0" tIns="0" rIns="0" bIns="0" anchor="t" upright="0">
                      <a:spAutoFit/>
                    </wps:bodyPr>
                  </wps:wsp>
                </a:graphicData>
              </a:graphic>
            </wp:anchor>
          </w:drawing>
        </mc:Choice>
        <mc:Fallback>
          <w:pict>
            <v:rect id="文本框 2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&#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l1uVLQAAAABQEAAA8AAAAAAAAAAQAgAAAAIgAAAGRy&#10;cy9kb3ducmV2LnhtbFBLAQIUABQAAAAIAIdO4kD085Kb1AEAAJ8DAAAOAAAAAAAAAAEAIAAAAB8B&#10;AABkcnMvZTJvRG9jLnhtbFBLBQYAAAAABgAGAFkBAABlBQAAAAA=&#10;">
              <v:fill on="f" focussize="0,0"/>
              <v:stroke on="f"/>
              <v:imagedata o:title=""/>
              <o:lock v:ext="edit" aspectratio="f"/>
              <v:textbox inset="0mm,0mm,0mm,0mm" style="mso-fit-shape-to-text:t;">
                <w:txbxContent>
                  <w:p w14:paraId="4045343E">
                    <w:pPr>
                      <w:pStyle w:val="5"/>
                    </w:pPr>
                    <w:r>
                      <w:fldChar w:fldCharType="begin"/>
                    </w:r>
                    <w:r>
                      <w:instrText xml:space="preserve"> PAGE  \* MERGEFORMAT </w:instrText>
                    </w:r>
                    <w:r>
                      <w:fldChar w:fldCharType="separate"/>
                    </w:r>
                    <w:r>
                      <w:t>1</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D500E1"/>
    <w:multiLevelType w:val="singleLevel"/>
    <w:tmpl w:val="1ED500E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YzNGIzZDE4MDVkNzRiYTM0ZjczZDljODNhYjY0NzIifQ=="/>
  </w:docVars>
  <w:rsids>
    <w:rsidRoot w:val="00000000"/>
    <w:rsid w:val="011A30DE"/>
    <w:rsid w:val="01A56A7F"/>
    <w:rsid w:val="01D97191"/>
    <w:rsid w:val="02125959"/>
    <w:rsid w:val="04974587"/>
    <w:rsid w:val="05E25224"/>
    <w:rsid w:val="06125210"/>
    <w:rsid w:val="09B7156B"/>
    <w:rsid w:val="09CD4315"/>
    <w:rsid w:val="09EB4DD4"/>
    <w:rsid w:val="0A5E3AB1"/>
    <w:rsid w:val="0CAD5BD8"/>
    <w:rsid w:val="0D4B7726"/>
    <w:rsid w:val="0FB015F0"/>
    <w:rsid w:val="1128556C"/>
    <w:rsid w:val="134B1ECA"/>
    <w:rsid w:val="14C344C8"/>
    <w:rsid w:val="15732B3D"/>
    <w:rsid w:val="164B51D1"/>
    <w:rsid w:val="17465594"/>
    <w:rsid w:val="18693706"/>
    <w:rsid w:val="1F0F6F8A"/>
    <w:rsid w:val="20AD2495"/>
    <w:rsid w:val="22523011"/>
    <w:rsid w:val="28F43D00"/>
    <w:rsid w:val="293718F9"/>
    <w:rsid w:val="29B33362"/>
    <w:rsid w:val="29D5432C"/>
    <w:rsid w:val="2D377E06"/>
    <w:rsid w:val="2EE30BE6"/>
    <w:rsid w:val="343B35D3"/>
    <w:rsid w:val="360B31F3"/>
    <w:rsid w:val="36D16BD5"/>
    <w:rsid w:val="37F55B45"/>
    <w:rsid w:val="387719FE"/>
    <w:rsid w:val="388C54AA"/>
    <w:rsid w:val="38C4418C"/>
    <w:rsid w:val="3A5B3271"/>
    <w:rsid w:val="3C087C65"/>
    <w:rsid w:val="3C4A1B1B"/>
    <w:rsid w:val="3DE96EFA"/>
    <w:rsid w:val="3E0D3725"/>
    <w:rsid w:val="403127A5"/>
    <w:rsid w:val="40E605AC"/>
    <w:rsid w:val="423C1EA7"/>
    <w:rsid w:val="426D43D0"/>
    <w:rsid w:val="44A91191"/>
    <w:rsid w:val="45813B7F"/>
    <w:rsid w:val="47496596"/>
    <w:rsid w:val="47D61E71"/>
    <w:rsid w:val="48A24875"/>
    <w:rsid w:val="48B7346C"/>
    <w:rsid w:val="499439DC"/>
    <w:rsid w:val="4DCF7526"/>
    <w:rsid w:val="4E5F4A03"/>
    <w:rsid w:val="4EFF6749"/>
    <w:rsid w:val="503F0BFC"/>
    <w:rsid w:val="51324699"/>
    <w:rsid w:val="519D77A6"/>
    <w:rsid w:val="53BD5777"/>
    <w:rsid w:val="54005C25"/>
    <w:rsid w:val="54667702"/>
    <w:rsid w:val="586523C9"/>
    <w:rsid w:val="58B260AC"/>
    <w:rsid w:val="58B46E15"/>
    <w:rsid w:val="58DD4627"/>
    <w:rsid w:val="598853C1"/>
    <w:rsid w:val="5ADF7263"/>
    <w:rsid w:val="5AE20B01"/>
    <w:rsid w:val="5CB936C0"/>
    <w:rsid w:val="5F733BFA"/>
    <w:rsid w:val="61741402"/>
    <w:rsid w:val="61B906FA"/>
    <w:rsid w:val="63EE4FF2"/>
    <w:rsid w:val="643F50BF"/>
    <w:rsid w:val="65254A80"/>
    <w:rsid w:val="677D408C"/>
    <w:rsid w:val="69512C9D"/>
    <w:rsid w:val="6A82280E"/>
    <w:rsid w:val="6AAB4EA2"/>
    <w:rsid w:val="6F60676D"/>
    <w:rsid w:val="708C6949"/>
    <w:rsid w:val="722D7407"/>
    <w:rsid w:val="7251080B"/>
    <w:rsid w:val="73673EBD"/>
    <w:rsid w:val="7377033F"/>
    <w:rsid w:val="74904EB8"/>
    <w:rsid w:val="793B31CC"/>
    <w:rsid w:val="79790B39"/>
    <w:rsid w:val="7C6B6751"/>
    <w:rsid w:val="7D3C46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autoRedefine/>
    <w:qFormat/>
    <w:uiPriority w:val="99"/>
    <w:pPr>
      <w:spacing w:before="60" w:after="60" w:line="360" w:lineRule="auto"/>
      <w:ind w:firstLine="200"/>
    </w:pPr>
    <w:rPr>
      <w:rFonts w:ascii="Times New Roman" w:hAnsi="Times New Roman" w:eastAsia="仿宋_GB2312"/>
      <w:kern w:val="2"/>
      <w:sz w:val="32"/>
      <w:szCs w:val="24"/>
    </w:rPr>
  </w:style>
  <w:style w:type="paragraph" w:styleId="5">
    <w:name w:val="footer"/>
    <w:basedOn w:val="1"/>
    <w:autoRedefine/>
    <w:qFormat/>
    <w:uiPriority w:val="0"/>
    <w:pPr>
      <w:tabs>
        <w:tab w:val="center" w:pos="4153"/>
        <w:tab w:val="right" w:pos="8306"/>
      </w:tabs>
      <w:snapToGrid w:val="0"/>
      <w:jc w:val="left"/>
    </w:pPr>
    <w:rPr>
      <w:sz w:val="18"/>
      <w:szCs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8">
    <w:name w:val="Table Grid"/>
    <w:basedOn w:val="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_Style 13"/>
    <w:autoRedefine/>
    <w:qFormat/>
    <w:uiPriority w:val="0"/>
    <w:pPr>
      <w:spacing w:before="120" w:after="120" w:line="288" w:lineRule="auto"/>
      <w:ind w:left="0"/>
      <w:jc w:val="left"/>
    </w:pPr>
    <w:rPr>
      <w:rFonts w:ascii="Arial" w:hAnsi="Arial" w:eastAsia="等线" w:cs="Arial"/>
      <w:sz w:val="22"/>
      <w:szCs w:val="22"/>
    </w:rPr>
  </w:style>
  <w:style w:type="paragraph" w:customStyle="1" w:styleId="11">
    <w:name w:val="null3"/>
    <w:autoRedefine/>
    <w:hidden/>
    <w:qFormat/>
    <w:uiPriority w:val="0"/>
    <w:rPr>
      <w:rFonts w:hint="eastAsia" w:asciiTheme="minorHAnsi" w:hAnsiTheme="minorHAnsi" w:eastAsiaTheme="minorEastAsia" w:cstheme="minorBidi"/>
      <w:lang w:val="en-US" w:eastAsia="zh-Hans"/>
    </w:rPr>
  </w:style>
  <w:style w:type="character" w:customStyle="1" w:styleId="12">
    <w:name w:val="font31"/>
    <w:basedOn w:val="9"/>
    <w:autoRedefine/>
    <w:qFormat/>
    <w:uiPriority w:val="0"/>
    <w:rPr>
      <w:rFonts w:hint="default" w:ascii="Times New Roman" w:hAnsi="Times New Roman" w:cs="Times New Roman"/>
      <w:color w:val="000000"/>
      <w:sz w:val="20"/>
      <w:szCs w:val="20"/>
      <w:u w:val="none"/>
    </w:rPr>
  </w:style>
  <w:style w:type="character" w:customStyle="1" w:styleId="13">
    <w:name w:val="font21"/>
    <w:basedOn w:val="9"/>
    <w:autoRedefine/>
    <w:qFormat/>
    <w:uiPriority w:val="0"/>
    <w:rPr>
      <w:rFonts w:hint="eastAsia" w:ascii="宋体" w:hAnsi="宋体" w:eastAsia="宋体" w:cs="宋体"/>
      <w:color w:val="000000"/>
      <w:sz w:val="20"/>
      <w:szCs w:val="20"/>
      <w:u w:val="none"/>
    </w:rPr>
  </w:style>
  <w:style w:type="paragraph" w:customStyle="1" w:styleId="14">
    <w:name w:val="Table Text"/>
    <w:basedOn w:val="1"/>
    <w:autoRedefine/>
    <w:semiHidden/>
    <w:qFormat/>
    <w:uiPriority w:val="0"/>
    <w:rPr>
      <w:rFonts w:ascii="宋体" w:hAnsi="宋体" w:eastAsia="宋体" w:cs="宋体"/>
      <w:sz w:val="19"/>
      <w:szCs w:val="19"/>
      <w:lang w:val="en-US" w:eastAsia="en-US" w:bidi="ar-SA"/>
    </w:rPr>
  </w:style>
  <w:style w:type="table" w:customStyle="1" w:styleId="15">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4854</Words>
  <Characters>5044</Characters>
  <Lines>0</Lines>
  <Paragraphs>0</Paragraphs>
  <TotalTime>182</TotalTime>
  <ScaleCrop>false</ScaleCrop>
  <LinksUpToDate>false</LinksUpToDate>
  <CharactersWithSpaces>5054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2024-12-31T09:11:00Z</dcterms:created>
  <dc:creator>Administrator</dc:creator>
  <cp:lastModifiedBy>杨波</cp:lastModifiedBy>
  <cp:lastPrinted>2025-04-22T00:30:00Z</cp:lastPrinted>
  <dcterms:modified xsi:type="dcterms:W3CDTF">2026-11-02T13:04:07Z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eyJoZGlkIjoiYTI0Y2U1YmFkMDQwMmYxMjllZTRhNDQxNTUzMjI3OGIiLCJ1c2VySWQiOiIxNTcwNDQxMDc2In0=</vt:lpwstr>
  </property>
  <property fmtid="{D5CDD505-2E9C-101B-9397-08002B2CF9AE}" pid="4" name="ICV">
    <vt:lpwstr>9AD88DD4515145809BAFA2FC68D57CAC_13</vt:lpwstr>
  </property>
</Properties>
</file>