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F35AA">
      <w:pPr>
        <w:keepNext/>
        <w:keepLines/>
        <w:pageBreakBefore w:val="0"/>
        <w:widowControl/>
        <w:kinsoku/>
        <w:wordWrap/>
        <w:overflowPunct/>
        <w:topLinePunct w:val="0"/>
        <w:autoSpaceDE/>
        <w:autoSpaceDN/>
        <w:bidi w:val="0"/>
        <w:adjustRightInd/>
        <w:snapToGrid/>
        <w:spacing w:line="590" w:lineRule="exact"/>
        <w:jc w:val="both"/>
        <w:textAlignment w:val="auto"/>
        <w:outlineLvl w:val="1"/>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附件1</w:t>
      </w:r>
    </w:p>
    <w:p w14:paraId="349712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Theme="majorEastAsia" w:hAnsiTheme="majorEastAsia" w:eastAsiaTheme="majorEastAsia" w:cstheme="majorEastAsia"/>
          <w:b/>
          <w:bCs/>
          <w:kern w:val="2"/>
          <w:sz w:val="32"/>
          <w:szCs w:val="32"/>
          <w:lang w:val="en-US" w:eastAsia="zh-CN" w:bidi="ar-SA"/>
        </w:rPr>
      </w:pPr>
      <w:r>
        <w:rPr>
          <w:rFonts w:hint="eastAsia" w:asciiTheme="majorEastAsia" w:hAnsiTheme="majorEastAsia" w:eastAsiaTheme="majorEastAsia" w:cstheme="majorEastAsia"/>
          <w:b/>
          <w:bCs/>
          <w:kern w:val="2"/>
          <w:sz w:val="32"/>
          <w:szCs w:val="32"/>
          <w:lang w:val="en-US" w:eastAsia="zh-CN" w:bidi="ar-SA"/>
        </w:rPr>
        <w:t>成都市新都区妇幼保健院</w:t>
      </w:r>
    </w:p>
    <w:p w14:paraId="4557A4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Theme="majorEastAsia" w:hAnsiTheme="majorEastAsia" w:eastAsiaTheme="majorEastAsia" w:cstheme="majorEastAsia"/>
          <w:b/>
          <w:bCs/>
          <w:kern w:val="2"/>
          <w:sz w:val="32"/>
          <w:szCs w:val="32"/>
          <w:lang w:val="en-US" w:eastAsia="zh-CN" w:bidi="ar-SA"/>
        </w:rPr>
      </w:pPr>
      <w:r>
        <w:rPr>
          <w:rFonts w:hint="eastAsia" w:asciiTheme="majorEastAsia" w:hAnsiTheme="majorEastAsia" w:eastAsiaTheme="majorEastAsia" w:cstheme="majorEastAsia"/>
          <w:b/>
          <w:bCs/>
          <w:kern w:val="2"/>
          <w:sz w:val="32"/>
          <w:szCs w:val="32"/>
          <w:lang w:val="en-US" w:eastAsia="zh-CN" w:bidi="ar-SA"/>
        </w:rPr>
        <w:t>水污染治理服务采购项目需求</w:t>
      </w:r>
    </w:p>
    <w:p w14:paraId="368A6D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15" w:lineRule="auto"/>
        <w:ind w:left="0" w:right="0" w:firstLine="600"/>
        <w:jc w:val="both"/>
        <w:rPr>
          <w:rFonts w:hint="eastAsia" w:ascii="仿宋" w:hAnsi="仿宋" w:eastAsia="仿宋" w:cs="仿宋"/>
          <w:color w:val="auto"/>
          <w:kern w:val="0"/>
          <w:sz w:val="28"/>
          <w:szCs w:val="22"/>
          <w:u w:val="none"/>
          <w:lang w:val="en-US" w:eastAsia="zh-CN" w:bidi="ar-SA"/>
        </w:rPr>
      </w:pPr>
    </w:p>
    <w:p w14:paraId="737803D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bCs/>
          <w:kern w:val="0"/>
          <w:sz w:val="28"/>
          <w:szCs w:val="28"/>
          <w:lang w:val="en-US" w:eastAsia="zh-CN" w:bidi="ar-SA"/>
        </w:rPr>
        <w:t>一、项目名称</w:t>
      </w:r>
      <w:r>
        <w:rPr>
          <w:rFonts w:hint="eastAsia" w:ascii="仿宋" w:hAnsi="仿宋" w:eastAsia="仿宋" w:cs="仿宋"/>
          <w:b w:val="0"/>
          <w:bCs w:val="0"/>
          <w:kern w:val="0"/>
          <w:sz w:val="28"/>
          <w:szCs w:val="28"/>
          <w:lang w:val="en-US" w:eastAsia="zh-CN" w:bidi="ar-SA"/>
        </w:rPr>
        <w:t>：成都市新都区妇幼保健院水污染治理服务</w:t>
      </w:r>
    </w:p>
    <w:p w14:paraId="530D158A">
      <w:pPr>
        <w:pStyle w:val="4"/>
        <w:ind w:firstLine="548" w:firstLineChars="195"/>
        <w:rPr>
          <w:rFonts w:hint="eastAsia" w:ascii="仿宋" w:hAnsi="仿宋" w:eastAsia="仿宋" w:cs="仿宋"/>
          <w:b w:val="0"/>
          <w:bCs w:val="0"/>
          <w:kern w:val="0"/>
          <w:sz w:val="28"/>
          <w:szCs w:val="28"/>
          <w:lang w:val="en-US" w:eastAsia="zh-CN" w:bidi="ar-SA"/>
        </w:rPr>
      </w:pPr>
      <w:r>
        <w:rPr>
          <w:rFonts w:hint="eastAsia" w:ascii="仿宋" w:hAnsi="仿宋" w:eastAsia="仿宋" w:cs="仿宋"/>
          <w:b/>
          <w:bCs/>
          <w:kern w:val="0"/>
          <w:sz w:val="28"/>
          <w:szCs w:val="28"/>
          <w:lang w:val="en-US" w:eastAsia="zh-CN" w:bidi="ar-SA"/>
        </w:rPr>
        <w:t>二、项目地点</w:t>
      </w:r>
      <w:r>
        <w:rPr>
          <w:rFonts w:hint="eastAsia" w:ascii="仿宋" w:hAnsi="仿宋" w:eastAsia="仿宋" w:cs="仿宋"/>
          <w:b w:val="0"/>
          <w:bCs w:val="0"/>
          <w:kern w:val="0"/>
          <w:sz w:val="28"/>
          <w:szCs w:val="28"/>
          <w:lang w:val="en-US" w:eastAsia="zh-CN" w:bidi="ar-SA"/>
        </w:rPr>
        <w:t>：成都市新都区新都街道新都大道309号（参与供应商可自行勘探现场</w:t>
      </w:r>
    </w:p>
    <w:p w14:paraId="098DED9B">
      <w:pPr>
        <w:ind w:firstLine="560"/>
        <w:rPr>
          <w:rFonts w:hint="default"/>
          <w:color w:val="auto"/>
          <w:sz w:val="28"/>
          <w:szCs w:val="28"/>
          <w:lang w:val="en-US" w:eastAsia="zh-CN"/>
        </w:rPr>
      </w:pPr>
      <w:r>
        <w:rPr>
          <w:rFonts w:hint="eastAsia" w:ascii="仿宋" w:hAnsi="仿宋" w:eastAsia="仿宋" w:cs="仿宋"/>
          <w:b w:val="0"/>
          <w:bCs w:val="0"/>
          <w:kern w:val="0"/>
          <w:sz w:val="28"/>
          <w:szCs w:val="28"/>
          <w:lang w:val="en-US" w:eastAsia="zh-CN" w:bidi="ar-SA"/>
        </w:rPr>
        <w:t>三</w:t>
      </w:r>
      <w:r>
        <w:rPr>
          <w:rFonts w:hint="eastAsia"/>
          <w:lang w:val="en-US" w:eastAsia="zh-CN"/>
        </w:rPr>
        <w:t>、</w:t>
      </w:r>
      <w:r>
        <w:rPr>
          <w:rFonts w:hint="eastAsia" w:ascii="仿宋" w:hAnsi="仿宋" w:eastAsia="仿宋" w:cs="仿宋"/>
          <w:b/>
          <w:bCs/>
          <w:kern w:val="0"/>
          <w:sz w:val="28"/>
          <w:szCs w:val="28"/>
          <w:lang w:val="en-US" w:eastAsia="zh-CN" w:bidi="ar-SA"/>
        </w:rPr>
        <w:t>项目概况：</w:t>
      </w:r>
      <w:r>
        <w:rPr>
          <w:rFonts w:hint="eastAsia" w:ascii="仿宋" w:hAnsi="仿宋" w:eastAsia="仿宋" w:cs="仿宋"/>
          <w:color w:val="auto"/>
          <w:sz w:val="28"/>
          <w:szCs w:val="28"/>
          <w:highlight w:val="none"/>
          <w:lang w:val="en-US" w:eastAsia="zh-CN"/>
        </w:rPr>
        <w:t>供应商</w:t>
      </w:r>
      <w:r>
        <w:rPr>
          <w:rFonts w:hint="eastAsia" w:ascii="仿宋" w:hAnsi="仿宋" w:eastAsia="仿宋" w:cs="仿宋"/>
          <w:color w:val="auto"/>
          <w:sz w:val="28"/>
          <w:szCs w:val="28"/>
          <w:highlight w:val="none"/>
        </w:rPr>
        <w:t>提供水污染治理、污水处理运营维护服务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服务期限三年，合同一年一签</w:t>
      </w:r>
    </w:p>
    <w:p w14:paraId="4BBFEC6F">
      <w:pPr>
        <w:ind w:firstLine="560"/>
        <w:rPr>
          <w:rFonts w:hint="eastAsia" w:ascii="仿宋" w:hAnsi="仿宋" w:eastAsia="仿宋" w:cs="仿宋"/>
          <w:b w:val="0"/>
          <w:bCs w:val="0"/>
          <w:kern w:val="0"/>
          <w:sz w:val="28"/>
          <w:szCs w:val="28"/>
          <w:lang w:val="en-US" w:eastAsia="zh-CN" w:bidi="ar-SA"/>
        </w:rPr>
      </w:pPr>
      <w:r>
        <w:rPr>
          <w:rFonts w:hint="eastAsia" w:ascii="仿宋" w:hAnsi="仿宋" w:eastAsia="仿宋" w:cs="仿宋"/>
          <w:b/>
          <w:bCs/>
          <w:kern w:val="0"/>
          <w:sz w:val="28"/>
          <w:szCs w:val="28"/>
          <w:lang w:val="en-US" w:eastAsia="zh-CN" w:bidi="ar-SA"/>
        </w:rPr>
        <w:t>三、采购方式</w:t>
      </w:r>
      <w:r>
        <w:rPr>
          <w:rFonts w:hint="eastAsia" w:ascii="仿宋" w:hAnsi="仿宋" w:eastAsia="仿宋" w:cs="仿宋"/>
          <w:b w:val="0"/>
          <w:bCs w:val="0"/>
          <w:kern w:val="0"/>
          <w:sz w:val="28"/>
          <w:szCs w:val="28"/>
          <w:lang w:val="en-US" w:eastAsia="zh-CN" w:bidi="ar-SA"/>
        </w:rPr>
        <w:t>：委托代理机构招标</w:t>
      </w:r>
    </w:p>
    <w:p w14:paraId="3550537A">
      <w:pPr>
        <w:rPr>
          <w:rFonts w:hint="default" w:ascii="仿宋" w:hAnsi="仿宋" w:eastAsia="仿宋" w:cs="仿宋"/>
          <w:b/>
          <w:bCs/>
          <w:lang w:val="en-US" w:eastAsia="zh-CN"/>
        </w:rPr>
      </w:pPr>
      <w:r>
        <w:rPr>
          <w:rFonts w:hint="eastAsia" w:ascii="仿宋" w:hAnsi="仿宋" w:eastAsia="仿宋" w:cs="仿宋"/>
          <w:b w:val="0"/>
          <w:bCs w:val="0"/>
          <w:kern w:val="0"/>
          <w:sz w:val="28"/>
          <w:szCs w:val="28"/>
          <w:lang w:val="en-US" w:eastAsia="zh-CN" w:bidi="ar-SA"/>
        </w:rPr>
        <w:t xml:space="preserve">   </w:t>
      </w:r>
      <w:r>
        <w:rPr>
          <w:rFonts w:hint="eastAsia" w:ascii="仿宋" w:hAnsi="仿宋" w:eastAsia="仿宋" w:cs="仿宋"/>
          <w:b/>
          <w:bCs/>
          <w:kern w:val="0"/>
          <w:sz w:val="28"/>
          <w:szCs w:val="28"/>
          <w:lang w:val="en-US" w:eastAsia="zh-CN" w:bidi="ar-SA"/>
        </w:rPr>
        <w:t xml:space="preserve"> 四、服务内容及标准：</w:t>
      </w:r>
    </w:p>
    <w:p w14:paraId="0C105E1B">
      <w:pPr>
        <w:spacing w:after="0"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（一）服务范围</w:t>
      </w:r>
    </w:p>
    <w:p w14:paraId="3585AEBC">
      <w:pPr>
        <w:spacing w:after="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污水处理站设计处理规模：120吨/</w:t>
      </w:r>
      <w:r>
        <w:rPr>
          <w:rFonts w:hint="eastAsia" w:ascii="仿宋" w:hAnsi="仿宋" w:eastAsia="仿宋" w:cs="仿宋"/>
          <w:sz w:val="28"/>
          <w:szCs w:val="28"/>
          <w:highlight w:val="none"/>
          <w:lang w:val="en-US" w:eastAsia="zh-CN"/>
        </w:rPr>
        <w:t>天</w:t>
      </w:r>
      <w:r>
        <w:rPr>
          <w:rFonts w:hint="eastAsia" w:ascii="仿宋" w:hAnsi="仿宋" w:eastAsia="仿宋" w:cs="仿宋"/>
          <w:sz w:val="28"/>
          <w:szCs w:val="28"/>
          <w:highlight w:val="none"/>
        </w:rPr>
        <w:t>。</w:t>
      </w:r>
    </w:p>
    <w:p w14:paraId="5F971AC6">
      <w:pPr>
        <w:spacing w:after="0"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2.污水设备的进水口起，至污水设备出水管总阀处止，中间所涉及的加药消毒装置、各类仪表、水泵、各类阀门及管路；控制柜进线电源开始至电机之间的元器件及线路等。</w:t>
      </w:r>
    </w:p>
    <w:p w14:paraId="5783FE77">
      <w:pPr>
        <w:spacing w:after="0"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3.污水设备所需消毒剂、在线监测药剂、维保服务等由供应商全部提供。</w:t>
      </w:r>
    </w:p>
    <w:p w14:paraId="0AC3E8D8">
      <w:pPr>
        <w:spacing w:after="0"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4.供应商</w:t>
      </w:r>
      <w:r>
        <w:rPr>
          <w:rFonts w:hint="default" w:ascii="仿宋" w:hAnsi="仿宋" w:eastAsia="仿宋" w:cs="仿宋"/>
          <w:color w:val="auto"/>
          <w:sz w:val="28"/>
          <w:szCs w:val="28"/>
          <w:highlight w:val="none"/>
          <w:lang w:val="en-US" w:eastAsia="zh-CN"/>
        </w:rPr>
        <w:t>负责医院污水处理系统全流程运维、设备维保、水质达标、在线监测、禁毒管控、台账管理与应急处置，确保符合环保、卫健、公安禁毒等监管要求；</w:t>
      </w:r>
    </w:p>
    <w:p w14:paraId="60CDEB2F">
      <w:pPr>
        <w:spacing w:after="0"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w:t>
      </w:r>
      <w:r>
        <w:rPr>
          <w:rFonts w:hint="default" w:ascii="仿宋" w:hAnsi="仿宋" w:eastAsia="仿宋" w:cs="仿宋"/>
          <w:color w:val="auto"/>
          <w:sz w:val="28"/>
          <w:szCs w:val="28"/>
          <w:highlight w:val="none"/>
          <w:lang w:val="en-US" w:eastAsia="zh-CN"/>
        </w:rPr>
        <w:t>本项目为污水处理系统全流程运维维保服务，服务方式为总价包干。</w:t>
      </w:r>
    </w:p>
    <w:p w14:paraId="2B6F1FBB">
      <w:pPr>
        <w:spacing w:after="0"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w:t>
      </w:r>
      <w:r>
        <w:rPr>
          <w:rFonts w:hint="default" w:ascii="仿宋" w:hAnsi="仿宋" w:eastAsia="仿宋" w:cs="仿宋"/>
          <w:color w:val="auto"/>
          <w:sz w:val="28"/>
          <w:szCs w:val="28"/>
          <w:highlight w:val="none"/>
          <w:lang w:val="en-US" w:eastAsia="zh-CN"/>
        </w:rPr>
        <w:t>.中标人须保证污水处理系统24小时连续稳定运行，出水水质符合国家及地方排放标准、环保部门、卫生健康部门及公安禁毒部门管控要求。</w:t>
      </w:r>
    </w:p>
    <w:p w14:paraId="1EB4F5FF">
      <w:pPr>
        <w:spacing w:after="0"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w:t>
      </w:r>
      <w:r>
        <w:rPr>
          <w:rFonts w:hint="default" w:ascii="仿宋" w:hAnsi="仿宋" w:eastAsia="仿宋" w:cs="仿宋"/>
          <w:color w:val="auto"/>
          <w:sz w:val="28"/>
          <w:szCs w:val="28"/>
          <w:highlight w:val="none"/>
          <w:lang w:val="en-US" w:eastAsia="zh-CN"/>
        </w:rPr>
        <w:t>.除招标文件明确由采购人承担的费用外，本项目所有人工、耗材、配件、维修、检测、药剂、禁毒监测、吗啡等特征污染物去除药剂及处置费用均由中标人自行承担，采购人不再支付任何额外费用。</w:t>
      </w:r>
    </w:p>
    <w:p w14:paraId="4474E5CA">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（二）服务内容</w:t>
      </w:r>
    </w:p>
    <w:p w14:paraId="7FCB230D">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1.供应商为院内的污水处理站提供日常巡查、运行管理、主要设施设备的维修维护、成套设备的应急抢修、水质检测、药剂添加等服务，解决污水处理站在运行管理期间出现的问题，保证污水处理站正常运行。</w:t>
      </w:r>
    </w:p>
    <w:p w14:paraId="27B30963">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2.供应商</w:t>
      </w:r>
      <w:r>
        <w:rPr>
          <w:rFonts w:hint="default" w:ascii="仿宋" w:hAnsi="仿宋" w:eastAsia="仿宋" w:cs="仿宋"/>
          <w:color w:val="auto"/>
          <w:sz w:val="28"/>
          <w:szCs w:val="28"/>
          <w:highlight w:val="none"/>
          <w:lang w:val="en-US" w:eastAsia="zh-CN"/>
        </w:rPr>
        <w:t>提供</w:t>
      </w:r>
      <w:r>
        <w:rPr>
          <w:rFonts w:hint="eastAsia" w:ascii="仿宋" w:hAnsi="仿宋" w:eastAsia="仿宋" w:cs="仿宋"/>
          <w:color w:val="auto"/>
          <w:sz w:val="28"/>
          <w:szCs w:val="28"/>
          <w:highlight w:val="none"/>
          <w:lang w:val="en-US" w:eastAsia="zh-CN"/>
        </w:rPr>
        <w:t>应急处理服务，</w:t>
      </w:r>
      <w:r>
        <w:rPr>
          <w:rFonts w:hint="default" w:ascii="仿宋" w:hAnsi="仿宋" w:eastAsia="仿宋" w:cs="仿宋"/>
          <w:color w:val="auto"/>
          <w:sz w:val="28"/>
          <w:szCs w:val="28"/>
          <w:highlight w:val="none"/>
          <w:lang w:val="en-US" w:eastAsia="zh-CN"/>
        </w:rPr>
        <w:t>突发故障、水质超标等紧急情况的快速响应与处理</w:t>
      </w:r>
      <w:r>
        <w:rPr>
          <w:rFonts w:hint="eastAsia" w:ascii="仿宋" w:hAnsi="仿宋" w:eastAsia="仿宋" w:cs="仿宋"/>
          <w:color w:val="auto"/>
          <w:sz w:val="28"/>
          <w:szCs w:val="28"/>
          <w:highlight w:val="none"/>
          <w:lang w:val="en-US" w:eastAsia="zh-CN"/>
        </w:rPr>
        <w:t>。</w:t>
      </w:r>
    </w:p>
    <w:p w14:paraId="7CD6065B">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3.巡视、维护、维修：</w:t>
      </w:r>
    </w:p>
    <w:p w14:paraId="02018DD8">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（1）机械部分：自进水口前端的进水阀门起，至污水设备出水总阀门止，中间所涉及的各类仪表、加药消毒装置、水泵、风机、软膜装置等各类阀门及管路。</w:t>
      </w:r>
    </w:p>
    <w:p w14:paraId="2DB745D8">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电气部分：水泵控制柜，自该柜进线电源开始至电机之间的元器件及线路等，对于控制柜内的交流接触器、中间继电器、断路器、熔断器及熔芯、各类指示灯、转换开关及按钮等元器件出现问题由供应商负责更换，采购人不额外支付费用。</w:t>
      </w:r>
    </w:p>
    <w:p w14:paraId="78BBC84A">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（三）服务要求</w:t>
      </w:r>
    </w:p>
    <w:p w14:paraId="05D4AAD8">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供应商为院内污水处理站配备项目负责人1名，专业技术人员1名，专职安全管理人员1名。实行24小时专人值守，按污水站规模配置持证运维人员（污水处理工、电工等），人员资质报采购方备案,严格执行考勤制度：上下班打卡、值班交接、离岗报备；严禁脱岗、睡岗、替岗、无证上岗,每日填写运行日志、设备巡检、加药记录、水质自检记录，每月提交运维报告。采购方不定期抽查考勤与现场值守，发现违规按考核条款处理；多次不合格有权终止合同。</w:t>
      </w:r>
    </w:p>
    <w:p w14:paraId="5323E5FE">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负责污水处理站日常操作维护管理，负责解决在运行管理中出现的疑难问题，包括在线监测设备数据异常、超标报警等，并接受采购人监督。运行过程中发现异常情况及时向采购人汇报、妥善处理，并跟踪处理结果，保证污水处理站正常运行。污水处理站的运行日志由供应商据实填写。</w:t>
      </w:r>
    </w:p>
    <w:p w14:paraId="0DC85F3F">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2.如出现影响污水处理站正常运行的维修问题，供应商接到报修电话后2小时内赶到现场，并在采购人规定时间内处理完成，如未按时完成造成采购人受到环保相关部门处罚的，一切损失和责任均由供应商承担。</w:t>
      </w:r>
    </w:p>
    <w:p w14:paraId="6BF6CE2D">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3.供应商应主动配合医院聘请的第三方检测公司对院内的污水处理站废水全套生化指标进行检测</w:t>
      </w:r>
      <w:bookmarkStart w:id="0" w:name="_GoBack"/>
      <w:bookmarkEnd w:id="0"/>
      <w:r>
        <w:rPr>
          <w:rFonts w:hint="eastAsia" w:ascii="仿宋" w:hAnsi="仿宋" w:eastAsia="仿宋" w:cs="仿宋"/>
          <w:color w:val="auto"/>
          <w:sz w:val="28"/>
          <w:szCs w:val="28"/>
          <w:highlight w:val="none"/>
          <w:lang w:val="en-US" w:eastAsia="zh-CN"/>
        </w:rPr>
        <w:t>（每季度检测一次，即一年四次），如供应商拒不配合，对第三方检测公司采样工作进行阻挠的，采购人有权终止合同，因此造成的一切损失和责任均由供应商承担。</w:t>
      </w:r>
    </w:p>
    <w:p w14:paraId="631FD1F6">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 供应商对污水处理系统PH、SS 、COD、NH3—N每日手动检测至少一次，保证废水排放符合排放标准和环保要求。污水处理站的检测记录、维修记录、污水排放记录供应商须按照环保部门规定的要求做好登记并妥善保存归档，每月接受采购人督查。在服务期内，供应商有义务配合采购人做好上级部门的监督检查工作，并提供相关材料。</w:t>
      </w:r>
    </w:p>
    <w:p w14:paraId="21BF7F41">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供应商负责在线监测仪（pH、COD、氨氮、总磷、余氯、流量计等）的日常校准、维护、质控、废液合规处置，并全额承担标准液、试剂、药剂、校准液、耗材、更换探头等所有费用。按规范定时添加、补充药剂，建立领用与添加台账，确保数据准确、上传稳定、联网正常。因药剂缺失、维护不到位导致数据异常、超标或停机处罚，由服务方承担全部责任与费用。</w:t>
      </w:r>
    </w:p>
    <w:p w14:paraId="3711D60E">
      <w:pPr>
        <w:spacing w:after="0"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配合公安禁毒大队开展污水中麻醉药品、精神药品、毒品代谢物采样、监测、溯源与核查，提供现场条件、运行数据与配合义务。禁毒监测所需采样耗材、检测试剂、专项处置、配合检测、整改提升等全部费用由服务方承担。若监测超标或不符合管控要求，服务方须立即整改并承担处罚、复测、专家咨询等相关费用；确保医院不因污水禁毒管控问题被通报、处罚或追责。按相关部门排放要求，需要在排放口添加单过硫酸氢钾等药品，</w:t>
      </w:r>
      <w:r>
        <w:rPr>
          <w:rFonts w:hint="eastAsia" w:ascii="仿宋" w:hAnsi="仿宋" w:eastAsia="仿宋" w:cs="仿宋"/>
          <w:b w:val="0"/>
          <w:bCs w:val="0"/>
          <w:color w:val="auto"/>
          <w:sz w:val="28"/>
          <w:szCs w:val="28"/>
          <w:highlight w:val="none"/>
          <w:lang w:val="en-US" w:eastAsia="zh-CN"/>
        </w:rPr>
        <w:t>该药品需要按禁毒大队指导要求进行采购，</w:t>
      </w:r>
      <w:r>
        <w:rPr>
          <w:rFonts w:hint="eastAsia" w:ascii="仿宋" w:hAnsi="仿宋" w:eastAsia="仿宋" w:cs="仿宋"/>
          <w:color w:val="auto"/>
          <w:sz w:val="28"/>
          <w:szCs w:val="28"/>
          <w:highlight w:val="none"/>
          <w:lang w:val="en-US" w:eastAsia="zh-CN"/>
        </w:rPr>
        <w:t>处理费用由供应商承担。</w:t>
      </w:r>
    </w:p>
    <w:p w14:paraId="56604483">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7.单次维修/单台配件费用≤1000元由服务方全额承担；＞1000元须报采购方书面确认，经同意后由服务方实施并先行垫付，凭有效凭证按约定结算；未经确认擅自更换的，采购方不予支付。</w:t>
      </w:r>
    </w:p>
    <w:p w14:paraId="13D21757">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8.因设备达到使用年限、整体大修或更新改造，由采购方负责；服务方须提供技术方案、报价与验收配合。</w:t>
      </w:r>
    </w:p>
    <w:p w14:paraId="703A1C16">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9.故障响应：接到报修30分钟内响应，2小时内到场，一般故障4小时内修复，重大故障24小时内提出处置方案并限期完成。</w:t>
      </w:r>
    </w:p>
    <w:p w14:paraId="0C8F4E46">
      <w:p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10.污水处理排放相关要求：</w:t>
      </w:r>
    </w:p>
    <w:p w14:paraId="58198E51">
      <w:pPr>
        <w:spacing w:after="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（1）出水水质</w:t>
      </w:r>
      <w:r>
        <w:rPr>
          <w:rFonts w:hint="eastAsia" w:ascii="仿宋" w:hAnsi="仿宋" w:eastAsia="仿宋" w:cs="仿宋"/>
          <w:color w:val="auto"/>
          <w:sz w:val="28"/>
          <w:szCs w:val="28"/>
          <w:highlight w:val="none"/>
        </w:rPr>
        <w:t>达到</w:t>
      </w:r>
      <w:r>
        <w:rPr>
          <w:rFonts w:hint="eastAsia" w:ascii="仿宋" w:hAnsi="仿宋" w:eastAsia="仿宋" w:cs="仿宋"/>
          <w:color w:val="auto"/>
          <w:sz w:val="28"/>
          <w:szCs w:val="28"/>
          <w:highlight w:val="none"/>
          <w:lang w:val="en-US" w:eastAsia="zh-CN"/>
        </w:rPr>
        <w:t>《医疗机构水污染物排放标准》GB18466-2005中预处理标准</w:t>
      </w:r>
      <w:r>
        <w:rPr>
          <w:rFonts w:hint="eastAsia" w:ascii="仿宋" w:hAnsi="仿宋" w:eastAsia="仿宋" w:cs="仿宋"/>
          <w:color w:val="auto"/>
          <w:sz w:val="28"/>
          <w:szCs w:val="28"/>
          <w:highlight w:val="none"/>
        </w:rPr>
        <w:t>，主要控制指标如下：</w:t>
      </w:r>
    </w:p>
    <w:tbl>
      <w:tblPr>
        <w:tblStyle w:val="15"/>
        <w:tblW w:w="8490" w:type="dxa"/>
        <w:tblInd w:w="-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0"/>
        <w:gridCol w:w="2940"/>
        <w:gridCol w:w="2865"/>
        <w:gridCol w:w="1545"/>
      </w:tblGrid>
      <w:tr w14:paraId="45B05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140" w:type="dxa"/>
            <w:vAlign w:val="top"/>
          </w:tcPr>
          <w:p w14:paraId="23055361">
            <w:pPr>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rPr>
                <w:rFonts w:ascii="仿宋" w:hAnsi="仿宋" w:eastAsia="仿宋" w:cs="仿宋"/>
                <w:b/>
                <w:bCs/>
                <w:color w:val="auto"/>
                <w:kern w:val="2"/>
                <w:sz w:val="28"/>
                <w:szCs w:val="28"/>
                <w:lang w:val="en-US" w:eastAsia="en-US" w:bidi="ar-SA"/>
              </w:rPr>
            </w:pPr>
            <w:r>
              <w:rPr>
                <w:rFonts w:ascii="仿宋" w:hAnsi="仿宋" w:eastAsia="仿宋" w:cs="仿宋"/>
                <w:b/>
                <w:bCs/>
                <w:color w:val="auto"/>
                <w:spacing w:val="-5"/>
                <w:kern w:val="2"/>
                <w:sz w:val="28"/>
                <w:szCs w:val="28"/>
                <w:lang w:val="en-US" w:eastAsia="en-US" w:bidi="ar-SA"/>
              </w:rPr>
              <w:t>序号</w:t>
            </w:r>
          </w:p>
        </w:tc>
        <w:tc>
          <w:tcPr>
            <w:tcW w:w="2940" w:type="dxa"/>
            <w:vAlign w:val="top"/>
          </w:tcPr>
          <w:p w14:paraId="4C2228B2">
            <w:pPr>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ascii="仿宋" w:hAnsi="仿宋" w:eastAsia="仿宋" w:cs="仿宋"/>
                <w:b/>
                <w:bCs/>
                <w:color w:val="auto"/>
                <w:kern w:val="2"/>
                <w:sz w:val="28"/>
                <w:szCs w:val="28"/>
                <w:lang w:val="en-US" w:eastAsia="en-US" w:bidi="ar-SA"/>
              </w:rPr>
            </w:pPr>
            <w:r>
              <w:rPr>
                <w:rFonts w:ascii="仿宋" w:hAnsi="仿宋" w:eastAsia="仿宋" w:cs="仿宋"/>
                <w:b/>
                <w:bCs/>
                <w:color w:val="auto"/>
                <w:spacing w:val="-6"/>
                <w:kern w:val="2"/>
                <w:sz w:val="28"/>
                <w:szCs w:val="28"/>
                <w:lang w:val="en-US" w:eastAsia="en-US" w:bidi="ar-SA"/>
              </w:rPr>
              <w:t>成分</w:t>
            </w:r>
          </w:p>
        </w:tc>
        <w:tc>
          <w:tcPr>
            <w:tcW w:w="2865" w:type="dxa"/>
            <w:vAlign w:val="top"/>
          </w:tcPr>
          <w:p w14:paraId="40A76671">
            <w:pPr>
              <w:keepNext w:val="0"/>
              <w:keepLines w:val="0"/>
              <w:pageBreakBefore w:val="0"/>
              <w:widowControl w:val="0"/>
              <w:kinsoku/>
              <w:wordWrap/>
              <w:overflowPunct/>
              <w:topLinePunct w:val="0"/>
              <w:autoSpaceDE/>
              <w:autoSpaceDN/>
              <w:bidi w:val="0"/>
              <w:adjustRightInd/>
              <w:snapToGrid/>
              <w:spacing w:line="214" w:lineRule="auto"/>
              <w:ind w:left="0"/>
              <w:jc w:val="center"/>
              <w:textAlignment w:val="auto"/>
              <w:rPr>
                <w:rFonts w:ascii="仿宋" w:hAnsi="仿宋" w:eastAsia="仿宋" w:cs="仿宋"/>
                <w:b/>
                <w:bCs/>
                <w:color w:val="auto"/>
                <w:kern w:val="2"/>
                <w:sz w:val="28"/>
                <w:szCs w:val="28"/>
                <w:lang w:val="en-US" w:eastAsia="en-US" w:bidi="ar-SA"/>
              </w:rPr>
            </w:pPr>
            <w:r>
              <w:rPr>
                <w:rFonts w:ascii="仿宋" w:hAnsi="仿宋" w:eastAsia="仿宋" w:cs="仿宋"/>
                <w:b/>
                <w:bCs/>
                <w:color w:val="auto"/>
                <w:spacing w:val="-2"/>
                <w:kern w:val="2"/>
                <w:sz w:val="28"/>
                <w:szCs w:val="28"/>
                <w:lang w:val="en-US" w:eastAsia="en-US" w:bidi="ar-SA"/>
              </w:rPr>
              <w:t>浓度（mg/L）</w:t>
            </w:r>
          </w:p>
        </w:tc>
        <w:tc>
          <w:tcPr>
            <w:tcW w:w="1545" w:type="dxa"/>
            <w:vAlign w:val="top"/>
          </w:tcPr>
          <w:p w14:paraId="2CE02DB6">
            <w:pPr>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备注</w:t>
            </w:r>
          </w:p>
        </w:tc>
      </w:tr>
      <w:tr w14:paraId="3B9CF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40" w:type="dxa"/>
            <w:vAlign w:val="top"/>
          </w:tcPr>
          <w:p w14:paraId="7921A2C6">
            <w:pPr>
              <w:keepNext w:val="0"/>
              <w:keepLines w:val="0"/>
              <w:pageBreakBefore w:val="0"/>
              <w:widowControl w:val="0"/>
              <w:kinsoku/>
              <w:wordWrap/>
              <w:overflowPunct/>
              <w:topLinePunct w:val="0"/>
              <w:autoSpaceDE/>
              <w:autoSpaceDN/>
              <w:bidi w:val="0"/>
              <w:adjustRightInd/>
              <w:snapToGrid/>
              <w:spacing w:line="184"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1</w:t>
            </w:r>
          </w:p>
        </w:tc>
        <w:tc>
          <w:tcPr>
            <w:tcW w:w="2940" w:type="dxa"/>
            <w:vAlign w:val="top"/>
          </w:tcPr>
          <w:p w14:paraId="11FA2986">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spacing w:val="-3"/>
                <w:kern w:val="2"/>
                <w:sz w:val="28"/>
                <w:szCs w:val="28"/>
                <w:lang w:val="en-US" w:eastAsia="en-US" w:bidi="ar-SA"/>
              </w:rPr>
              <w:t>COD</w:t>
            </w:r>
          </w:p>
        </w:tc>
        <w:tc>
          <w:tcPr>
            <w:tcW w:w="2865" w:type="dxa"/>
            <w:vAlign w:val="top"/>
          </w:tcPr>
          <w:p w14:paraId="1B111857">
            <w:pPr>
              <w:keepNext w:val="0"/>
              <w:keepLines w:val="0"/>
              <w:pageBreakBefore w:val="0"/>
              <w:widowControl w:val="0"/>
              <w:kinsoku/>
              <w:wordWrap/>
              <w:overflowPunct/>
              <w:topLinePunct w:val="0"/>
              <w:autoSpaceDE/>
              <w:autoSpaceDN/>
              <w:bidi w:val="0"/>
              <w:adjustRightInd/>
              <w:snapToGrid/>
              <w:spacing w:line="236"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spacing w:val="-7"/>
                <w:kern w:val="2"/>
                <w:sz w:val="28"/>
                <w:szCs w:val="28"/>
                <w:lang w:val="en-US" w:eastAsia="en-US" w:bidi="ar-SA"/>
              </w:rPr>
              <w:t>≤250</w:t>
            </w:r>
          </w:p>
        </w:tc>
        <w:tc>
          <w:tcPr>
            <w:tcW w:w="1545" w:type="dxa"/>
            <w:vAlign w:val="top"/>
          </w:tcPr>
          <w:p w14:paraId="410E78AB">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774E4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5233494F">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2</w:t>
            </w:r>
          </w:p>
        </w:tc>
        <w:tc>
          <w:tcPr>
            <w:tcW w:w="2940" w:type="dxa"/>
            <w:vAlign w:val="top"/>
          </w:tcPr>
          <w:p w14:paraId="1B1B035A">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spacing w:val="-2"/>
                <w:kern w:val="2"/>
                <w:sz w:val="28"/>
                <w:szCs w:val="28"/>
                <w:lang w:val="en-US" w:eastAsia="en-US" w:bidi="ar-SA"/>
              </w:rPr>
              <w:t>BOD</w:t>
            </w:r>
          </w:p>
        </w:tc>
        <w:tc>
          <w:tcPr>
            <w:tcW w:w="2865" w:type="dxa"/>
            <w:vAlign w:val="top"/>
          </w:tcPr>
          <w:p w14:paraId="096E242B">
            <w:pPr>
              <w:keepNext w:val="0"/>
              <w:keepLines w:val="0"/>
              <w:pageBreakBefore w:val="0"/>
              <w:widowControl w:val="0"/>
              <w:kinsoku/>
              <w:wordWrap/>
              <w:overflowPunct/>
              <w:topLinePunct w:val="0"/>
              <w:autoSpaceDE/>
              <w:autoSpaceDN/>
              <w:bidi w:val="0"/>
              <w:adjustRightInd/>
              <w:snapToGrid/>
              <w:spacing w:line="236" w:lineRule="auto"/>
              <w:ind w:left="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spacing w:val="-7"/>
                <w:kern w:val="2"/>
                <w:sz w:val="28"/>
                <w:szCs w:val="28"/>
                <w:lang w:val="en-US" w:eastAsia="en-US" w:bidi="ar-SA"/>
              </w:rPr>
              <w:t>≤100</w:t>
            </w:r>
          </w:p>
        </w:tc>
        <w:tc>
          <w:tcPr>
            <w:tcW w:w="1545" w:type="dxa"/>
            <w:vAlign w:val="top"/>
          </w:tcPr>
          <w:p w14:paraId="4149E90E">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077A1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4E5645A9">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3</w:t>
            </w:r>
          </w:p>
        </w:tc>
        <w:tc>
          <w:tcPr>
            <w:tcW w:w="2940" w:type="dxa"/>
            <w:vAlign w:val="top"/>
          </w:tcPr>
          <w:p w14:paraId="549F6484">
            <w:pPr>
              <w:keepNext w:val="0"/>
              <w:keepLines w:val="0"/>
              <w:pageBreakBefore w:val="0"/>
              <w:widowControl w:val="0"/>
              <w:kinsoku/>
              <w:wordWrap/>
              <w:overflowPunct/>
              <w:topLinePunct w:val="0"/>
              <w:autoSpaceDE/>
              <w:autoSpaceDN/>
              <w:bidi w:val="0"/>
              <w:adjustRightInd/>
              <w:snapToGrid/>
              <w:spacing w:line="182"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3"/>
                <w:kern w:val="2"/>
                <w:sz w:val="28"/>
                <w:szCs w:val="28"/>
                <w:lang w:val="en-US" w:eastAsia="en-US" w:bidi="ar-SA"/>
              </w:rPr>
              <w:t>PH</w:t>
            </w:r>
          </w:p>
        </w:tc>
        <w:tc>
          <w:tcPr>
            <w:tcW w:w="2865" w:type="dxa"/>
            <w:vAlign w:val="top"/>
          </w:tcPr>
          <w:p w14:paraId="6832D0CB">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4"/>
                <w:kern w:val="2"/>
                <w:sz w:val="28"/>
                <w:szCs w:val="28"/>
                <w:lang w:val="en-US" w:eastAsia="en-US" w:bidi="ar-SA"/>
              </w:rPr>
              <w:t>6-9</w:t>
            </w:r>
          </w:p>
        </w:tc>
        <w:tc>
          <w:tcPr>
            <w:tcW w:w="1545" w:type="dxa"/>
            <w:vAlign w:val="top"/>
          </w:tcPr>
          <w:p w14:paraId="23799EB2">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42CFC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6BB354C1">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4</w:t>
            </w:r>
          </w:p>
        </w:tc>
        <w:tc>
          <w:tcPr>
            <w:tcW w:w="2940" w:type="dxa"/>
            <w:vAlign w:val="top"/>
          </w:tcPr>
          <w:p w14:paraId="75F3758E">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6"/>
                <w:kern w:val="2"/>
                <w:sz w:val="28"/>
                <w:szCs w:val="28"/>
                <w:lang w:val="en-US" w:eastAsia="en-US" w:bidi="ar-SA"/>
              </w:rPr>
              <w:t>SS</w:t>
            </w:r>
          </w:p>
        </w:tc>
        <w:tc>
          <w:tcPr>
            <w:tcW w:w="2865" w:type="dxa"/>
            <w:vAlign w:val="top"/>
          </w:tcPr>
          <w:p w14:paraId="3E6C2330">
            <w:pPr>
              <w:keepNext w:val="0"/>
              <w:keepLines w:val="0"/>
              <w:pageBreakBefore w:val="0"/>
              <w:widowControl w:val="0"/>
              <w:kinsoku/>
              <w:wordWrap/>
              <w:overflowPunct/>
              <w:topLinePunct w:val="0"/>
              <w:autoSpaceDE/>
              <w:autoSpaceDN/>
              <w:bidi w:val="0"/>
              <w:adjustRightInd/>
              <w:snapToGrid/>
              <w:spacing w:line="236"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9"/>
                <w:kern w:val="2"/>
                <w:sz w:val="28"/>
                <w:szCs w:val="28"/>
                <w:lang w:val="en-US" w:eastAsia="en-US" w:bidi="ar-SA"/>
              </w:rPr>
              <w:t>≤60</w:t>
            </w:r>
          </w:p>
        </w:tc>
        <w:tc>
          <w:tcPr>
            <w:tcW w:w="1545" w:type="dxa"/>
            <w:vAlign w:val="top"/>
          </w:tcPr>
          <w:p w14:paraId="25B0C332">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77557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2635BA26">
            <w:pPr>
              <w:keepNext w:val="0"/>
              <w:keepLines w:val="0"/>
              <w:pageBreakBefore w:val="0"/>
              <w:widowControl w:val="0"/>
              <w:kinsoku/>
              <w:wordWrap/>
              <w:overflowPunct/>
              <w:topLinePunct w:val="0"/>
              <w:autoSpaceDE/>
              <w:autoSpaceDN/>
              <w:bidi w:val="0"/>
              <w:adjustRightInd/>
              <w:snapToGrid/>
              <w:spacing w:line="182"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5</w:t>
            </w:r>
          </w:p>
        </w:tc>
        <w:tc>
          <w:tcPr>
            <w:tcW w:w="2940" w:type="dxa"/>
            <w:vAlign w:val="top"/>
          </w:tcPr>
          <w:p w14:paraId="0BB99408">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1"/>
                <w:kern w:val="2"/>
                <w:sz w:val="28"/>
                <w:szCs w:val="28"/>
                <w:lang w:val="en-US" w:eastAsia="en-US" w:bidi="ar-SA"/>
              </w:rPr>
              <w:t>NH3—N</w:t>
            </w:r>
          </w:p>
        </w:tc>
        <w:tc>
          <w:tcPr>
            <w:tcW w:w="2865" w:type="dxa"/>
            <w:vAlign w:val="top"/>
          </w:tcPr>
          <w:p w14:paraId="26B4A9B7">
            <w:pPr>
              <w:keepNext w:val="0"/>
              <w:keepLines w:val="0"/>
              <w:pageBreakBefore w:val="0"/>
              <w:widowControl w:val="0"/>
              <w:kinsoku/>
              <w:wordWrap/>
              <w:overflowPunct/>
              <w:topLinePunct w:val="0"/>
              <w:autoSpaceDE/>
              <w:autoSpaceDN/>
              <w:bidi w:val="0"/>
              <w:adjustRightInd/>
              <w:snapToGrid/>
              <w:spacing w:line="236"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9"/>
                <w:kern w:val="2"/>
                <w:sz w:val="28"/>
                <w:szCs w:val="28"/>
                <w:lang w:val="en-US" w:eastAsia="en-US" w:bidi="ar-SA"/>
              </w:rPr>
              <w:t>≤30</w:t>
            </w:r>
          </w:p>
        </w:tc>
        <w:tc>
          <w:tcPr>
            <w:tcW w:w="1545" w:type="dxa"/>
            <w:vAlign w:val="top"/>
          </w:tcPr>
          <w:p w14:paraId="33A75B66">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276DB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3678AA5C">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6</w:t>
            </w:r>
          </w:p>
        </w:tc>
        <w:tc>
          <w:tcPr>
            <w:tcW w:w="2940" w:type="dxa"/>
            <w:vAlign w:val="top"/>
          </w:tcPr>
          <w:p w14:paraId="3AE3837E">
            <w:pPr>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5"/>
                <w:kern w:val="2"/>
                <w:sz w:val="28"/>
                <w:szCs w:val="28"/>
                <w:lang w:val="en-US" w:eastAsia="en-US" w:bidi="ar-SA"/>
              </w:rPr>
              <w:t>大肠菌</w:t>
            </w:r>
          </w:p>
        </w:tc>
        <w:tc>
          <w:tcPr>
            <w:tcW w:w="2865" w:type="dxa"/>
            <w:vAlign w:val="top"/>
          </w:tcPr>
          <w:p w14:paraId="5BA6CB06">
            <w:pPr>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5"/>
                <w:kern w:val="2"/>
                <w:sz w:val="28"/>
                <w:szCs w:val="28"/>
                <w:lang w:val="en-US" w:eastAsia="en-US" w:bidi="ar-SA"/>
              </w:rPr>
              <w:t>≤5000</w:t>
            </w:r>
            <w:r>
              <w:rPr>
                <w:rFonts w:ascii="仿宋" w:hAnsi="仿宋" w:eastAsia="仿宋" w:cs="仿宋"/>
                <w:color w:val="auto"/>
                <w:spacing w:val="-48"/>
                <w:kern w:val="2"/>
                <w:sz w:val="28"/>
                <w:szCs w:val="28"/>
                <w:lang w:val="en-US" w:eastAsia="en-US" w:bidi="ar-SA"/>
              </w:rPr>
              <w:t xml:space="preserve"> </w:t>
            </w:r>
            <w:r>
              <w:rPr>
                <w:rFonts w:ascii="仿宋" w:hAnsi="仿宋" w:eastAsia="仿宋" w:cs="仿宋"/>
                <w:color w:val="auto"/>
                <w:spacing w:val="-5"/>
                <w:kern w:val="2"/>
                <w:sz w:val="28"/>
                <w:szCs w:val="28"/>
                <w:lang w:val="en-US" w:eastAsia="en-US" w:bidi="ar-SA"/>
              </w:rPr>
              <w:t>个</w:t>
            </w:r>
          </w:p>
        </w:tc>
        <w:tc>
          <w:tcPr>
            <w:tcW w:w="1545" w:type="dxa"/>
            <w:vAlign w:val="top"/>
          </w:tcPr>
          <w:p w14:paraId="098C3BBE">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68770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758E02DB">
            <w:pPr>
              <w:keepNext w:val="0"/>
              <w:keepLines w:val="0"/>
              <w:pageBreakBefore w:val="0"/>
              <w:widowControl w:val="0"/>
              <w:kinsoku/>
              <w:wordWrap/>
              <w:overflowPunct/>
              <w:topLinePunct w:val="0"/>
              <w:autoSpaceDE/>
              <w:autoSpaceDN/>
              <w:bidi w:val="0"/>
              <w:adjustRightInd/>
              <w:snapToGrid/>
              <w:spacing w:line="182"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7</w:t>
            </w:r>
          </w:p>
        </w:tc>
        <w:tc>
          <w:tcPr>
            <w:tcW w:w="2940" w:type="dxa"/>
            <w:vAlign w:val="top"/>
          </w:tcPr>
          <w:p w14:paraId="3F77250F">
            <w:pPr>
              <w:keepNext w:val="0"/>
              <w:keepLines w:val="0"/>
              <w:pageBreakBefore w:val="0"/>
              <w:widowControl w:val="0"/>
              <w:kinsoku/>
              <w:wordWrap/>
              <w:overflowPunct/>
              <w:topLinePunct w:val="0"/>
              <w:autoSpaceDE/>
              <w:autoSpaceDN/>
              <w:bidi w:val="0"/>
              <w:adjustRightInd/>
              <w:snapToGrid/>
              <w:spacing w:line="185"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3"/>
                <w:kern w:val="2"/>
                <w:sz w:val="28"/>
                <w:szCs w:val="28"/>
                <w:lang w:val="en-US" w:eastAsia="en-US" w:bidi="ar-SA"/>
              </w:rPr>
              <w:t>LAS</w:t>
            </w:r>
          </w:p>
        </w:tc>
        <w:tc>
          <w:tcPr>
            <w:tcW w:w="2865" w:type="dxa"/>
            <w:vAlign w:val="top"/>
          </w:tcPr>
          <w:p w14:paraId="77196325">
            <w:pPr>
              <w:keepNext w:val="0"/>
              <w:keepLines w:val="0"/>
              <w:pageBreakBefore w:val="0"/>
              <w:widowControl w:val="0"/>
              <w:kinsoku/>
              <w:wordWrap/>
              <w:overflowPunct/>
              <w:topLinePunct w:val="0"/>
              <w:autoSpaceDE/>
              <w:autoSpaceDN/>
              <w:bidi w:val="0"/>
              <w:adjustRightInd/>
              <w:snapToGrid/>
              <w:spacing w:line="236"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9"/>
                <w:kern w:val="2"/>
                <w:sz w:val="28"/>
                <w:szCs w:val="28"/>
                <w:lang w:val="en-US" w:eastAsia="en-US" w:bidi="ar-SA"/>
              </w:rPr>
              <w:t>≤15</w:t>
            </w:r>
          </w:p>
        </w:tc>
        <w:tc>
          <w:tcPr>
            <w:tcW w:w="1545" w:type="dxa"/>
            <w:vAlign w:val="top"/>
          </w:tcPr>
          <w:p w14:paraId="15A657BB">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r w14:paraId="4CFCB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40" w:type="dxa"/>
            <w:vAlign w:val="top"/>
          </w:tcPr>
          <w:p w14:paraId="49C30D20">
            <w:pPr>
              <w:keepNext w:val="0"/>
              <w:keepLines w:val="0"/>
              <w:pageBreakBefore w:val="0"/>
              <w:widowControl w:val="0"/>
              <w:kinsoku/>
              <w:wordWrap/>
              <w:overflowPunct/>
              <w:topLinePunct w:val="0"/>
              <w:autoSpaceDE/>
              <w:autoSpaceDN/>
              <w:bidi w:val="0"/>
              <w:adjustRightInd/>
              <w:snapToGrid/>
              <w:spacing w:line="183" w:lineRule="auto"/>
              <w:ind w:left="0" w:leftChars="0"/>
              <w:jc w:val="center"/>
              <w:textAlignment w:val="auto"/>
              <w:rPr>
                <w:rFonts w:ascii="仿宋" w:hAnsi="仿宋" w:eastAsia="仿宋" w:cs="仿宋"/>
                <w:color w:val="auto"/>
                <w:kern w:val="2"/>
                <w:sz w:val="28"/>
                <w:szCs w:val="28"/>
                <w:lang w:val="en-US" w:eastAsia="en-US" w:bidi="ar-SA"/>
              </w:rPr>
            </w:pPr>
            <w:r>
              <w:rPr>
                <w:rFonts w:ascii="仿宋" w:hAnsi="仿宋" w:eastAsia="仿宋" w:cs="仿宋"/>
                <w:color w:val="auto"/>
                <w:kern w:val="2"/>
                <w:sz w:val="28"/>
                <w:szCs w:val="28"/>
                <w:lang w:val="en-US" w:eastAsia="en-US" w:bidi="ar-SA"/>
              </w:rPr>
              <w:t>8</w:t>
            </w:r>
          </w:p>
        </w:tc>
        <w:tc>
          <w:tcPr>
            <w:tcW w:w="2940" w:type="dxa"/>
            <w:vAlign w:val="top"/>
          </w:tcPr>
          <w:p w14:paraId="6D2E447A">
            <w:pPr>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ascii="仿宋" w:hAnsi="仿宋" w:eastAsia="仿宋" w:cs="仿宋"/>
                <w:color w:val="auto"/>
                <w:spacing w:val="-2"/>
                <w:kern w:val="2"/>
                <w:sz w:val="28"/>
                <w:szCs w:val="28"/>
                <w:lang w:val="en-US" w:eastAsia="en-US" w:bidi="ar-SA"/>
              </w:rPr>
            </w:pPr>
            <w:r>
              <w:rPr>
                <w:rFonts w:ascii="仿宋" w:hAnsi="仿宋" w:eastAsia="仿宋" w:cs="仿宋"/>
                <w:color w:val="auto"/>
                <w:spacing w:val="-3"/>
                <w:kern w:val="2"/>
                <w:sz w:val="28"/>
                <w:szCs w:val="28"/>
                <w:lang w:val="en-US" w:eastAsia="en-US" w:bidi="ar-SA"/>
              </w:rPr>
              <w:t>动植物油</w:t>
            </w:r>
          </w:p>
        </w:tc>
        <w:tc>
          <w:tcPr>
            <w:tcW w:w="2865" w:type="dxa"/>
            <w:vAlign w:val="top"/>
          </w:tcPr>
          <w:p w14:paraId="122CA7BA">
            <w:pPr>
              <w:keepNext w:val="0"/>
              <w:keepLines w:val="0"/>
              <w:pageBreakBefore w:val="0"/>
              <w:widowControl w:val="0"/>
              <w:kinsoku/>
              <w:wordWrap/>
              <w:overflowPunct/>
              <w:topLinePunct w:val="0"/>
              <w:autoSpaceDE/>
              <w:autoSpaceDN/>
              <w:bidi w:val="0"/>
              <w:adjustRightInd/>
              <w:snapToGrid/>
              <w:spacing w:line="236" w:lineRule="auto"/>
              <w:ind w:left="0" w:leftChars="0"/>
              <w:jc w:val="center"/>
              <w:textAlignment w:val="auto"/>
              <w:rPr>
                <w:rFonts w:ascii="仿宋" w:hAnsi="仿宋" w:eastAsia="仿宋" w:cs="仿宋"/>
                <w:color w:val="auto"/>
                <w:spacing w:val="-7"/>
                <w:kern w:val="2"/>
                <w:sz w:val="28"/>
                <w:szCs w:val="28"/>
                <w:lang w:val="en-US" w:eastAsia="en-US" w:bidi="ar-SA"/>
              </w:rPr>
            </w:pPr>
            <w:r>
              <w:rPr>
                <w:rFonts w:ascii="仿宋" w:hAnsi="仿宋" w:eastAsia="仿宋" w:cs="仿宋"/>
                <w:color w:val="auto"/>
                <w:spacing w:val="-9"/>
                <w:kern w:val="2"/>
                <w:sz w:val="28"/>
                <w:szCs w:val="28"/>
                <w:lang w:val="en-US" w:eastAsia="en-US" w:bidi="ar-SA"/>
              </w:rPr>
              <w:t>≤20</w:t>
            </w:r>
          </w:p>
        </w:tc>
        <w:tc>
          <w:tcPr>
            <w:tcW w:w="1545" w:type="dxa"/>
            <w:vAlign w:val="top"/>
          </w:tcPr>
          <w:p w14:paraId="7D288B0A">
            <w:pPr>
              <w:keepNext w:val="0"/>
              <w:keepLines w:val="0"/>
              <w:pageBreakBefore w:val="0"/>
              <w:widowControl w:val="0"/>
              <w:kinsoku/>
              <w:wordWrap/>
              <w:overflowPunct/>
              <w:topLinePunct w:val="0"/>
              <w:autoSpaceDE/>
              <w:autoSpaceDN/>
              <w:bidi w:val="0"/>
              <w:adjustRightInd/>
              <w:snapToGrid/>
              <w:ind w:left="0"/>
              <w:jc w:val="center"/>
              <w:textAlignment w:val="auto"/>
              <w:rPr>
                <w:rFonts w:ascii="Arial" w:hAnsi="Times New Roman" w:eastAsia="宋体" w:cs="Times New Roman"/>
                <w:color w:val="auto"/>
                <w:sz w:val="28"/>
                <w:szCs w:val="28"/>
              </w:rPr>
            </w:pPr>
          </w:p>
        </w:tc>
      </w:tr>
    </w:tbl>
    <w:p w14:paraId="44B32A26">
      <w:pPr>
        <w:numPr>
          <w:ilvl w:val="0"/>
          <w:numId w:val="0"/>
        </w:numPr>
        <w:spacing w:after="0"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lang w:val="en-US" w:eastAsia="zh-CN" w:bidi="ar-SA"/>
        </w:rPr>
        <w:t>（2）</w:t>
      </w:r>
      <w:r>
        <w:rPr>
          <w:rFonts w:hint="eastAsia" w:ascii="仿宋" w:hAnsi="仿宋" w:eastAsia="仿宋" w:cs="仿宋"/>
          <w:color w:val="auto"/>
          <w:sz w:val="28"/>
          <w:szCs w:val="28"/>
          <w:highlight w:val="none"/>
          <w:lang w:val="en-US" w:eastAsia="zh-CN"/>
        </w:rPr>
        <w:t>污水处理工艺：生物接触氧化+接触消毒法。</w:t>
      </w:r>
    </w:p>
    <w:p w14:paraId="757225D6">
      <w:pPr>
        <w:numPr>
          <w:ilvl w:val="0"/>
          <w:numId w:val="0"/>
        </w:numPr>
        <w:spacing w:after="0" w:line="360" w:lineRule="auto"/>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（3）在运营期间，供应商必须严格按污水处理站设备的操作规程进行安全操作，确保污水处理达标排放，并保证人身安全。如果在服务期内发生安全事故，由供应商承担全部责任。</w:t>
      </w:r>
    </w:p>
    <w:p w14:paraId="1DD2B414">
      <w:pPr>
        <w:numPr>
          <w:ilvl w:val="0"/>
          <w:numId w:val="0"/>
        </w:numPr>
        <w:spacing w:after="0" w:line="360" w:lineRule="auto"/>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供应商除满足污水处理站的运行要求外，还需遵守采购人及环保等职能部门的各项规章制度。供应商保证生产污水的达标排放，如遇环保部门、相关管理部门对污水排放检查不达标或不合格，或造成重大污染事故，造成相关部门罚款，由供应商承担全部责任并承担相关罚款；如给采购人造成损失，由供应商承担全部责任。</w:t>
      </w:r>
    </w:p>
    <w:p w14:paraId="4B808126">
      <w:pPr>
        <w:numPr>
          <w:ilvl w:val="0"/>
          <w:numId w:val="0"/>
        </w:numPr>
        <w:spacing w:after="0" w:line="360" w:lineRule="auto"/>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5）运行维护人员每天对院内的污水处理站的设施设备进行巡检，保障COD、氨氮等在线监测设备药剂的24小时持续稳定添加。涉及的消毒药剂须符合国家及行业现行相关标准。污水处理站所需所有药剂所产生的费用包含在报价中，采购人不再另行支付。</w:t>
      </w:r>
    </w:p>
    <w:p w14:paraId="3E291471">
      <w:pPr>
        <w:numPr>
          <w:ilvl w:val="0"/>
          <w:numId w:val="0"/>
        </w:numPr>
        <w:spacing w:after="0" w:line="360" w:lineRule="auto"/>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6）负责院内的污水处理站的主要设施设备（见下表）的维修维护工作（包含每年1次对设施设备进行大修检查维护保养），保障污水处理站的正常运行及处理水质达标排放，维修维护至少包含设施设备系统升级、调试、监测设备标定、更换设施设备零配件。</w:t>
      </w:r>
    </w:p>
    <w:p w14:paraId="31CF3E34">
      <w:pPr>
        <w:pStyle w:val="11"/>
        <w:ind w:firstLine="470"/>
        <w:jc w:val="left"/>
        <w:rPr>
          <w:rFonts w:ascii="Calibri" w:hAnsi="Calibri" w:eastAsia="宋体" w:cs="Times New Roman"/>
          <w:color w:val="auto"/>
          <w:sz w:val="28"/>
          <w:szCs w:val="28"/>
        </w:rPr>
      </w:pPr>
      <w:r>
        <w:rPr>
          <w:rFonts w:ascii="仿宋" w:hAnsi="仿宋" w:eastAsia="仿宋" w:cs="仿宋"/>
          <w:b/>
          <w:color w:val="auto"/>
          <w:sz w:val="28"/>
          <w:szCs w:val="28"/>
        </w:rPr>
        <w:t>二、污水站设备清单</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0"/>
        <w:gridCol w:w="4040"/>
        <w:gridCol w:w="881"/>
        <w:gridCol w:w="769"/>
        <w:gridCol w:w="1256"/>
      </w:tblGrid>
      <w:tr w14:paraId="5BC6A9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top"/>
          </w:tcPr>
          <w:p w14:paraId="5CC41F9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序号</w:t>
            </w:r>
          </w:p>
        </w:tc>
        <w:tc>
          <w:tcPr>
            <w:tcW w:w="4040"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top"/>
          </w:tcPr>
          <w:p w14:paraId="6466871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名称、规格、型号</w:t>
            </w:r>
          </w:p>
        </w:tc>
        <w:tc>
          <w:tcPr>
            <w:tcW w:w="881"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top"/>
          </w:tcPr>
          <w:p w14:paraId="711A034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单位</w:t>
            </w:r>
          </w:p>
        </w:tc>
        <w:tc>
          <w:tcPr>
            <w:tcW w:w="769"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top"/>
          </w:tcPr>
          <w:p w14:paraId="518212C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数量</w:t>
            </w:r>
          </w:p>
        </w:tc>
        <w:tc>
          <w:tcPr>
            <w:tcW w:w="125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top"/>
          </w:tcPr>
          <w:p w14:paraId="3A3651D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备注</w:t>
            </w:r>
          </w:p>
        </w:tc>
      </w:tr>
      <w:tr w14:paraId="1CE96D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52BD65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CC79C4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集水池提升泵QW50-10-15-1.1</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1FE9AA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F3E71A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 xml:space="preserve">1 </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D9F0E9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0AE2B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8D4706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0F277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调节池提升泵QW50-10-10-0.75</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7BB7CE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BEDF1F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CA9C4F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08949B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6A6A4D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972623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液位控制器</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C776B5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B375B0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B6AC9A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0857E7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358FE1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4</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DBDA43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弹性生物填料</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C61CA2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立方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48ADBB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25</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DAFB0D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E8133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942AE7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5</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1F533A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曝气管</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2A4F62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441298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C506F2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3E23A0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28324D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6</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BACCDA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曝气盘</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6A37F2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个</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72F130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70</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3AB92E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3EE9C5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22C7DB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7</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0DA9DB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MBBR填料</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49C3A5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立方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2CCBB2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8</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939215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665207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C28503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8</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7AE81C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填料支架</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C43D1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D1E329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DD1A8A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795AC7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D46559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9</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B0E709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65型罗茨风机 N=3KW</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FEEE06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1A282F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68EB11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3BCDE2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86EAF7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10</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D04DBE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污泥泵QW50-12-15-1.5</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C82274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D83D96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75B894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7252D6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72ECFD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11</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A27123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中心筒</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EF51BA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个</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76560E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437D72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10FFD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6BDCE0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12</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F858A6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出水堰</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C89F1A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2C0B3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949EF4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D2F46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992B41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13</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5AFF3A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MBR产水泵</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06CCEB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2C74FA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2F286B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0253C0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6B6F01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14</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F282E4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MBR膜组件</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8785A1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平方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D6FA1C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840</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7ABBE7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155D2F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8032C0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15</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6DFD15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MBR膜支架</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DDB9AA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99FB94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8EA0DB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41665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15F615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16</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5178E5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反洗泵</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53906A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B115A5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D6703D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74908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594FC3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17</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17EFEB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MBR清洗药箱</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FB2157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0791EB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EF1CD3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67C66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AF58AA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18</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D62287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二氧化氯投加器</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2B2147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EF4D4A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3B0C71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0050AC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4D80E5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19</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5C063F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加药泵</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E7AF3E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674F92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99683A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C0E96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819D5F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20</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E4E3C0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明渠式流量计</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F0DAF8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E73341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3962C4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5F9B2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187187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21</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36188E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余氯仪</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2201AE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68AD05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C12185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A2676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701FB1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22</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CF0D61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PH仪</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05641E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093B2C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2042BC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6BED61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11F524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23</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0A6E7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除臭设备</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8F9D4A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A70246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F4957E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60F995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F2B987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24</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928A70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离心式引风机</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C82391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8F1297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133C07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12C10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7B660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25</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4EB84F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COD 在线监测仪</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CFCA1E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5B5397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D531E3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52FDBA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8E5A35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26</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8C2ECA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氨氮监测仪器</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AE3CC1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14A0CC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A97139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194DC8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815CC8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27</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AE852F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叠螺式污泥脱水机</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1FE320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451FE0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2D57F0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36768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1614BF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28</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D54987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自吸排污泵</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40E245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C70EDD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10A284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7E152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21DDC6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29</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4880B5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污泥加药装置</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E24319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台</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C03755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FAA583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5A9E4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729EB9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30</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116548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数采仪</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7EECF7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 xml:space="preserve"> 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752F7A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5186A4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A692A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906C97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31</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2F8152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电控系统</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2257C5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套</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E470DC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2E3CD7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含PLC、触摸屏等</w:t>
            </w:r>
          </w:p>
        </w:tc>
      </w:tr>
      <w:tr w14:paraId="6D3610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0AEECE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32</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A6D4CE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产水管DN50</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C89D2F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米</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256954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314</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F3BBA1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61BBE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5E0613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33</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FC12B9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加药管PPR20</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60694C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米</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565FAD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117</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1C6225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7C9E5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0870D7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34</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C6FAB7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污水管</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30D7C21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米</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44BB60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215</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9F8261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7D9424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A751B4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35</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A2500D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给水管</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918F04E">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米</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2EF6F4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114</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2AB0926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7A9E6A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06697BB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36</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4D0438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U-PVC排水管DN100</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1F820B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米</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620B5B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44</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9EC734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245B70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FEFB8B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37</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FD7069A">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线缆</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0FE8F8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5A6E67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701E257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r w14:paraId="43E254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1737F4E3">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38</w:t>
            </w:r>
          </w:p>
        </w:tc>
        <w:tc>
          <w:tcPr>
            <w:tcW w:w="404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7146846">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辅助设备</w:t>
            </w:r>
          </w:p>
        </w:tc>
        <w:tc>
          <w:tcPr>
            <w:tcW w:w="881"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484B5B8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批</w:t>
            </w:r>
          </w:p>
        </w:tc>
        <w:tc>
          <w:tcPr>
            <w:tcW w:w="769"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64A082C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r>
              <w:rPr>
                <w:rFonts w:hint="eastAsia" w:ascii="仿宋" w:hAnsi="仿宋" w:eastAsia="仿宋" w:cs="仿宋"/>
                <w:b w:val="0"/>
                <w:bCs w:val="0"/>
                <w:i w:val="0"/>
                <w:caps w:val="0"/>
                <w:color w:val="auto"/>
                <w:spacing w:val="0"/>
                <w:kern w:val="2"/>
                <w:sz w:val="28"/>
                <w:szCs w:val="28"/>
                <w:shd w:val="clear" w:color="auto" w:fill="FFFFFF"/>
                <w:lang w:val="en-US" w:eastAsia="zh-CN" w:bidi="ar-SA"/>
              </w:rPr>
              <w:t>1</w:t>
            </w:r>
          </w:p>
        </w:tc>
        <w:tc>
          <w:tcPr>
            <w:tcW w:w="1256"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top"/>
          </w:tcPr>
          <w:p w14:paraId="5725488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val="0"/>
                <w:i w:val="0"/>
                <w:caps w:val="0"/>
                <w:color w:val="auto"/>
                <w:spacing w:val="0"/>
                <w:kern w:val="2"/>
                <w:sz w:val="28"/>
                <w:szCs w:val="28"/>
                <w:shd w:val="clear" w:color="auto" w:fill="FFFFFF"/>
                <w:lang w:val="en-US" w:eastAsia="zh-CN" w:bidi="ar-SA"/>
              </w:rPr>
            </w:pPr>
          </w:p>
        </w:tc>
      </w:tr>
    </w:tbl>
    <w:p w14:paraId="7E770B2E">
      <w:pPr>
        <w:pStyle w:val="4"/>
        <w:rPr>
          <w:rFonts w:hint="default"/>
          <w:color w:val="auto"/>
          <w:sz w:val="28"/>
          <w:szCs w:val="28"/>
        </w:rPr>
      </w:pPr>
    </w:p>
    <w:sectPr>
      <w:footerReference r:id="rId3" w:type="default"/>
      <w:pgSz w:w="11906" w:h="16838"/>
      <w:pgMar w:top="1553" w:right="1576" w:bottom="1440" w:left="1633"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39315B2-3B12-4873-B93D-B8F715A8B3FC}"/>
  </w:font>
  <w:font w:name="黑体">
    <w:panose1 w:val="02010609060101010101"/>
    <w:charset w:val="86"/>
    <w:family w:val="auto"/>
    <w:pitch w:val="default"/>
    <w:sig w:usb0="800002BF" w:usb1="38CF7CFA" w:usb2="00000016" w:usb3="00000000" w:csb0="00040001" w:csb1="00000000"/>
    <w:embedRegular r:id="rId2" w:fontKey="{B20CB87F-B1D5-4D84-AED6-C47A907EF5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CDFBB3-0ACA-4A65-B818-971E3237D57E}"/>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E71E561C-5212-469B-816C-DBAC4FC9BE3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0B01">
    <w:pPr>
      <w:pStyle w:val="5"/>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045343E">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Tzkpv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J1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085Kb1AEAAJ8DAAAOAAAAAAAAAAEAIAAAAB8B&#10;AABkcnMvZTJvRG9jLnhtbFBLBQYAAAAABgAGAFkBAABlBQAAAAA=&#10;">
              <v:fill on="f" focussize="0,0"/>
              <v:stroke on="f"/>
              <v:imagedata o:title=""/>
              <o:lock v:ext="edit" aspectratio="f"/>
              <v:textbox inset="0mm,0mm,0mm,0mm" style="mso-fit-shape-to-text:t;">
                <w:txbxContent>
                  <w:p w14:paraId="4045343E">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zNGIzZDE4MDVkNzRiYTM0ZjczZDljODNhYjY0NzIifQ=="/>
  </w:docVars>
  <w:rsids>
    <w:rsidRoot w:val="00000000"/>
    <w:rsid w:val="011A30DE"/>
    <w:rsid w:val="01A56A7F"/>
    <w:rsid w:val="01D97191"/>
    <w:rsid w:val="02125959"/>
    <w:rsid w:val="04974587"/>
    <w:rsid w:val="05E25224"/>
    <w:rsid w:val="06125210"/>
    <w:rsid w:val="09457A00"/>
    <w:rsid w:val="09B7156B"/>
    <w:rsid w:val="09CD4315"/>
    <w:rsid w:val="09EB4DD4"/>
    <w:rsid w:val="0A5E3AB1"/>
    <w:rsid w:val="0D4B7726"/>
    <w:rsid w:val="0FB015F0"/>
    <w:rsid w:val="1128556C"/>
    <w:rsid w:val="128B34BD"/>
    <w:rsid w:val="134B1ECA"/>
    <w:rsid w:val="14C344C8"/>
    <w:rsid w:val="15732B3D"/>
    <w:rsid w:val="164B51D1"/>
    <w:rsid w:val="17465594"/>
    <w:rsid w:val="18693706"/>
    <w:rsid w:val="1F0F6F8A"/>
    <w:rsid w:val="20AD2495"/>
    <w:rsid w:val="214C3BAE"/>
    <w:rsid w:val="22523011"/>
    <w:rsid w:val="293718F9"/>
    <w:rsid w:val="29B33362"/>
    <w:rsid w:val="29D5432C"/>
    <w:rsid w:val="2D377E06"/>
    <w:rsid w:val="2EE30BE6"/>
    <w:rsid w:val="325022AC"/>
    <w:rsid w:val="343B35D3"/>
    <w:rsid w:val="360B31F3"/>
    <w:rsid w:val="36D16BD5"/>
    <w:rsid w:val="37F55B45"/>
    <w:rsid w:val="387719FE"/>
    <w:rsid w:val="388C54AA"/>
    <w:rsid w:val="38C4418C"/>
    <w:rsid w:val="3A5B3271"/>
    <w:rsid w:val="3C087C65"/>
    <w:rsid w:val="3C4A1B1B"/>
    <w:rsid w:val="3DE96EFA"/>
    <w:rsid w:val="3E0D3725"/>
    <w:rsid w:val="3E8E669E"/>
    <w:rsid w:val="403127A5"/>
    <w:rsid w:val="40E605AC"/>
    <w:rsid w:val="423C1EA7"/>
    <w:rsid w:val="426D43D0"/>
    <w:rsid w:val="44A91191"/>
    <w:rsid w:val="45813B7F"/>
    <w:rsid w:val="47496596"/>
    <w:rsid w:val="47D61E71"/>
    <w:rsid w:val="48A24875"/>
    <w:rsid w:val="48B7346C"/>
    <w:rsid w:val="499439DC"/>
    <w:rsid w:val="4DCF7526"/>
    <w:rsid w:val="4E5F4A03"/>
    <w:rsid w:val="4EFF6749"/>
    <w:rsid w:val="503F0BFC"/>
    <w:rsid w:val="51324699"/>
    <w:rsid w:val="519D77A6"/>
    <w:rsid w:val="53BD5777"/>
    <w:rsid w:val="54005C25"/>
    <w:rsid w:val="54667702"/>
    <w:rsid w:val="586523C9"/>
    <w:rsid w:val="58B260AC"/>
    <w:rsid w:val="58B46E15"/>
    <w:rsid w:val="58DD4627"/>
    <w:rsid w:val="598853C1"/>
    <w:rsid w:val="5ADF7263"/>
    <w:rsid w:val="5AE20B01"/>
    <w:rsid w:val="5CB936C0"/>
    <w:rsid w:val="5F733BFA"/>
    <w:rsid w:val="61741402"/>
    <w:rsid w:val="61B906FA"/>
    <w:rsid w:val="63EE4FF2"/>
    <w:rsid w:val="643F50BF"/>
    <w:rsid w:val="65254A80"/>
    <w:rsid w:val="677D408C"/>
    <w:rsid w:val="69512C9D"/>
    <w:rsid w:val="6A82280E"/>
    <w:rsid w:val="6AAB4EA2"/>
    <w:rsid w:val="6F60676D"/>
    <w:rsid w:val="708C6949"/>
    <w:rsid w:val="7251080B"/>
    <w:rsid w:val="73673EBD"/>
    <w:rsid w:val="7377033F"/>
    <w:rsid w:val="793B31CC"/>
    <w:rsid w:val="79790B39"/>
    <w:rsid w:val="7C6B6751"/>
    <w:rsid w:val="7D3C4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spacing w:before="60" w:after="60" w:line="360" w:lineRule="auto"/>
      <w:ind w:firstLine="200"/>
    </w:pPr>
    <w:rPr>
      <w:rFonts w:ascii="Times New Roman" w:hAnsi="Times New Roman" w:eastAsia="仿宋_GB2312"/>
      <w:kern w:val="2"/>
      <w:sz w:val="32"/>
      <w:szCs w:val="24"/>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Style 13"/>
    <w:autoRedefine/>
    <w:qFormat/>
    <w:uiPriority w:val="0"/>
    <w:pPr>
      <w:spacing w:before="120" w:after="120" w:line="288" w:lineRule="auto"/>
      <w:ind w:left="0"/>
      <w:jc w:val="left"/>
    </w:pPr>
    <w:rPr>
      <w:rFonts w:ascii="Arial" w:hAnsi="Arial" w:eastAsia="等线" w:cs="Arial"/>
      <w:sz w:val="22"/>
      <w:szCs w:val="22"/>
    </w:rPr>
  </w:style>
  <w:style w:type="paragraph" w:customStyle="1" w:styleId="11">
    <w:name w:val="null3"/>
    <w:autoRedefine/>
    <w:hidden/>
    <w:qFormat/>
    <w:uiPriority w:val="0"/>
    <w:rPr>
      <w:rFonts w:hint="eastAsia" w:asciiTheme="minorHAnsi" w:hAnsiTheme="minorHAnsi" w:eastAsiaTheme="minorEastAsia" w:cstheme="minorBidi"/>
      <w:lang w:val="en-US" w:eastAsia="zh-Hans"/>
    </w:rPr>
  </w:style>
  <w:style w:type="character" w:customStyle="1" w:styleId="12">
    <w:name w:val="font31"/>
    <w:basedOn w:val="9"/>
    <w:autoRedefine/>
    <w:qFormat/>
    <w:uiPriority w:val="0"/>
    <w:rPr>
      <w:rFonts w:hint="default" w:ascii="Times New Roman" w:hAnsi="Times New Roman" w:cs="Times New Roman"/>
      <w:color w:val="000000"/>
      <w:sz w:val="20"/>
      <w:szCs w:val="20"/>
      <w:u w:val="none"/>
    </w:rPr>
  </w:style>
  <w:style w:type="character" w:customStyle="1" w:styleId="13">
    <w:name w:val="font21"/>
    <w:basedOn w:val="9"/>
    <w:autoRedefine/>
    <w:qFormat/>
    <w:uiPriority w:val="0"/>
    <w:rPr>
      <w:rFonts w:hint="eastAsia" w:ascii="宋体" w:hAnsi="宋体" w:eastAsia="宋体" w:cs="宋体"/>
      <w:color w:val="000000"/>
      <w:sz w:val="20"/>
      <w:szCs w:val="20"/>
      <w:u w:val="none"/>
    </w:rPr>
  </w:style>
  <w:style w:type="paragraph" w:customStyle="1" w:styleId="14">
    <w:name w:val="Table Text"/>
    <w:basedOn w:val="1"/>
    <w:autoRedefine/>
    <w:semiHidden/>
    <w:qFormat/>
    <w:uiPriority w:val="0"/>
    <w:rPr>
      <w:rFonts w:ascii="宋体" w:hAnsi="宋体" w:eastAsia="宋体" w:cs="宋体"/>
      <w:sz w:val="19"/>
      <w:szCs w:val="19"/>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 w:type="paragraph" w:customStyle="1" w:styleId="16">
    <w:name w:val="第二大标题"/>
    <w:qFormat/>
    <w:uiPriority w:val="0"/>
    <w:pPr>
      <w:widowControl w:val="0"/>
      <w:spacing w:line="440" w:lineRule="exact"/>
      <w:ind w:firstLine="0" w:firstLineChars="0"/>
      <w:jc w:val="both"/>
      <w:outlineLvl w:val="1"/>
    </w:pPr>
    <w:rPr>
      <w:rFonts w:ascii="宋体" w:hAnsi="宋体" w:eastAsia="宋体" w:cs="宋体"/>
      <w:b/>
      <w:bCs/>
      <w:kern w:val="2"/>
      <w:sz w:val="28"/>
      <w:szCs w:val="20"/>
      <w:lang w:val="en-US" w:eastAsia="zh-CN" w:bidi="ar-SA"/>
    </w:rPr>
  </w:style>
  <w:style w:type="paragraph" w:customStyle="1" w:styleId="17">
    <w:name w:val="正文11111"/>
    <w:qFormat/>
    <w:uiPriority w:val="0"/>
    <w:pPr>
      <w:widowControl w:val="0"/>
      <w:spacing w:line="440" w:lineRule="exact"/>
      <w:ind w:firstLine="200" w:firstLineChars="200"/>
      <w:jc w:val="both"/>
    </w:pPr>
    <w:rPr>
      <w:rFonts w:ascii="宋体" w:hAnsi="宋体"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3029</Words>
  <Characters>3231</Characters>
  <Lines>0</Lines>
  <Paragraphs>0</Paragraphs>
  <TotalTime>7</TotalTime>
  <ScaleCrop>false</ScaleCrop>
  <LinksUpToDate>false</LinksUpToDate>
  <CharactersWithSpaces>3242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2024-12-31T09:11:00Z</dcterms:created>
  <dc:creator>Administrator</dc:creator>
  <cp:lastModifiedBy>杨波</cp:lastModifiedBy>
  <cp:lastPrinted>2026-07-26T08:41:00Z</cp:lastPrinted>
  <dcterms:modified xsi:type="dcterms:W3CDTF">2026-10-07T11:44:07Z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eyJoZGlkIjoiYWQxMDMyOWY4NTM5Yzk3ODhmZjk0NjJmMDhmM2Y3ZDEiLCJ1c2VySWQiOiIxNTcwNDQxMDc2In0=</vt:lpwstr>
  </property>
  <property fmtid="{D5CDD505-2E9C-101B-9397-08002B2CF9AE}" pid="4" name="ICV">
    <vt:lpwstr>7C5F8B03F2224E15920A1E2D3449449F_13</vt:lpwstr>
  </property>
</Properties>
</file>